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F88CF" w14:textId="77777777" w:rsidR="006C7741" w:rsidRPr="006C7741" w:rsidRDefault="006C7741" w:rsidP="006C7741">
      <w:pPr>
        <w:jc w:val="center"/>
        <w:rPr>
          <w:rFonts w:eastAsia="Times New Roman"/>
          <w:color w:val="000000"/>
          <w:sz w:val="28"/>
          <w:szCs w:val="28"/>
        </w:rPr>
      </w:pPr>
      <w:r w:rsidRPr="006C7741">
        <w:rPr>
          <w:rFonts w:eastAsia="Times New Roman"/>
          <w:b/>
          <w:bCs/>
          <w:color w:val="000000"/>
          <w:sz w:val="28"/>
          <w:szCs w:val="28"/>
        </w:rPr>
        <w:t>Fertilizantes de máxima disponibilidad para los cultivos</w:t>
      </w:r>
    </w:p>
    <w:p w14:paraId="544BD157" w14:textId="7162F0B6" w:rsidR="00687212" w:rsidRDefault="00D9772D" w:rsidP="00C07693">
      <w:pPr>
        <w:tabs>
          <w:tab w:val="left" w:pos="1215"/>
        </w:tabs>
        <w:jc w:val="center"/>
        <w:rPr>
          <w:rFonts w:ascii="Arial" w:eastAsia="Arial" w:hAnsi="Arial" w:cs="Arial"/>
          <w:i/>
          <w:sz w:val="24"/>
          <w:szCs w:val="24"/>
        </w:rPr>
      </w:pPr>
      <w:bookmarkStart w:id="0" w:name="_GoBack"/>
      <w:proofErr w:type="spellStart"/>
      <w:r>
        <w:rPr>
          <w:rFonts w:ascii="Arial" w:eastAsia="Arial" w:hAnsi="Arial" w:cs="Arial"/>
          <w:i/>
          <w:sz w:val="24"/>
          <w:szCs w:val="24"/>
        </w:rPr>
        <w:t>Agri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Liquid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innovación argentina en nutrición eficiente, estará en Expoagro 2025 con sus arrancadores líquidos fosfatados</w:t>
      </w:r>
      <w:r w:rsidR="00442C5B">
        <w:rPr>
          <w:rFonts w:ascii="Arial" w:eastAsia="Arial" w:hAnsi="Arial" w:cs="Arial"/>
          <w:i/>
          <w:sz w:val="24"/>
          <w:szCs w:val="24"/>
        </w:rPr>
        <w:t>.</w:t>
      </w:r>
    </w:p>
    <w:p w14:paraId="7BAAEC17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Agri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Liquid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Argentina reafirma su presencia en </w:t>
      </w:r>
      <w:r w:rsidRPr="00C07693">
        <w:rPr>
          <w:rFonts w:ascii="Arial" w:eastAsia="Arial" w:hAnsi="Arial" w:cs="Arial"/>
          <w:b/>
          <w:sz w:val="24"/>
          <w:szCs w:val="24"/>
        </w:rPr>
        <w:t>Expoagro 2025</w:t>
      </w:r>
      <w:r>
        <w:rPr>
          <w:rFonts w:ascii="Arial" w:eastAsia="Arial" w:hAnsi="Arial" w:cs="Arial"/>
          <w:sz w:val="24"/>
          <w:szCs w:val="24"/>
        </w:rPr>
        <w:t xml:space="preserve">, que se llevará a cabo del 11 al 14 de marzo en el predio ferial y autódromo de San Nicolás. Con una exitosa primera participación en Expoagro 2024, </w:t>
      </w:r>
      <w:r w:rsidRPr="00C07693">
        <w:rPr>
          <w:rFonts w:ascii="Arial" w:eastAsia="Arial" w:hAnsi="Arial" w:cs="Arial"/>
          <w:b/>
          <w:sz w:val="24"/>
          <w:szCs w:val="24"/>
        </w:rPr>
        <w:t>la empresa vuelve a ser parte de la mayor muestra agroindustrial a cielo abierto de la región, con el objetivo de posicionar sus soluciones innovadoras en fertilización líquida fosfatada.</w:t>
      </w:r>
      <w:r>
        <w:rPr>
          <w:rFonts w:ascii="Arial" w:eastAsia="Arial" w:hAnsi="Arial" w:cs="Arial"/>
          <w:sz w:val="24"/>
          <w:szCs w:val="24"/>
        </w:rPr>
        <w:t xml:space="preserve"> Estas soluciones se presentan como una herramienta esencial para maximizar el potencial de los cultivos desde la semilla.</w:t>
      </w:r>
    </w:p>
    <w:p w14:paraId="6730275D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 xml:space="preserve">Expoagro es sin duda el gran evento de la agroindustria y nuestra participación en 2024 fue todo un éxito. Por ello seguimos confiando en este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megaespacio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de encuentro con el objetivo de </w:t>
      </w:r>
      <w:r w:rsidRPr="00C07693">
        <w:rPr>
          <w:rFonts w:ascii="Arial" w:eastAsia="Arial" w:hAnsi="Arial" w:cs="Arial"/>
          <w:b/>
          <w:i/>
          <w:sz w:val="24"/>
          <w:szCs w:val="24"/>
        </w:rPr>
        <w:t>acercar nuestras soluciones tanto a productores, asesores y colegas, para que conozcan más nuestra empresa</w:t>
      </w:r>
      <w:r>
        <w:rPr>
          <w:rFonts w:ascii="Arial" w:eastAsia="Arial" w:hAnsi="Arial" w:cs="Arial"/>
          <w:i/>
          <w:sz w:val="24"/>
          <w:szCs w:val="24"/>
        </w:rPr>
        <w:t>, nuestra tecnología MAPLIQUID de arrancadores líquidos fosfatados y nuestra línea de biológicos con nanotecnología</w:t>
      </w:r>
      <w:r>
        <w:rPr>
          <w:rFonts w:ascii="Arial" w:eastAsia="Arial" w:hAnsi="Arial" w:cs="Arial"/>
          <w:sz w:val="24"/>
          <w:szCs w:val="24"/>
        </w:rPr>
        <w:t xml:space="preserve">”, dijo Leandro </w:t>
      </w:r>
      <w:proofErr w:type="spellStart"/>
      <w:r>
        <w:rPr>
          <w:rFonts w:ascii="Arial" w:eastAsia="Arial" w:hAnsi="Arial" w:cs="Arial"/>
          <w:sz w:val="24"/>
          <w:szCs w:val="24"/>
        </w:rPr>
        <w:t>Armoa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gerente General de </w:t>
      </w:r>
      <w:proofErr w:type="spellStart"/>
      <w:r>
        <w:rPr>
          <w:rFonts w:ascii="Arial" w:eastAsia="Arial" w:hAnsi="Arial" w:cs="Arial"/>
          <w:sz w:val="24"/>
          <w:szCs w:val="24"/>
        </w:rPr>
        <w:t>Agri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Liquid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Argentina (ALS).</w:t>
      </w:r>
    </w:p>
    <w:p w14:paraId="3D63021D" w14:textId="142539A5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más de 15 </w:t>
      </w:r>
      <w:r w:rsidR="00C07693">
        <w:rPr>
          <w:rFonts w:ascii="Arial" w:eastAsia="Arial" w:hAnsi="Arial" w:cs="Arial"/>
          <w:sz w:val="24"/>
          <w:szCs w:val="24"/>
        </w:rPr>
        <w:t xml:space="preserve">años </w:t>
      </w:r>
      <w:r>
        <w:rPr>
          <w:rFonts w:ascii="Arial" w:eastAsia="Arial" w:hAnsi="Arial" w:cs="Arial"/>
          <w:sz w:val="24"/>
          <w:szCs w:val="24"/>
        </w:rPr>
        <w:t xml:space="preserve">de trayectoria en el mercado, la empresa se posiciona como un </w:t>
      </w:r>
      <w:r w:rsidRPr="00C07693">
        <w:rPr>
          <w:rFonts w:ascii="Arial" w:eastAsia="Arial" w:hAnsi="Arial" w:cs="Arial"/>
          <w:b/>
          <w:sz w:val="24"/>
          <w:szCs w:val="24"/>
        </w:rPr>
        <w:t>actor clave en nutrición inteligente para el sector agropecuario. A través de un innovador desarrollo tecnológico nacional</w:t>
      </w:r>
      <w:r>
        <w:rPr>
          <w:rFonts w:ascii="Arial" w:eastAsia="Arial" w:hAnsi="Arial" w:cs="Arial"/>
          <w:sz w:val="24"/>
          <w:szCs w:val="24"/>
        </w:rPr>
        <w:t>, busca mejorar la eficiencia de las fuentes de fertilización fosfatada, garantizando un aprovechamiento total del fósforo disponible, lo que permite una rápida asimilación por parte de los cultivos.</w:t>
      </w:r>
    </w:p>
    <w:p w14:paraId="1A54D885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ALS es una compañía </w:t>
      </w:r>
      <w:r w:rsidRPr="00C07693">
        <w:rPr>
          <w:rFonts w:ascii="Arial" w:eastAsia="Arial" w:hAnsi="Arial" w:cs="Arial"/>
          <w:b/>
          <w:sz w:val="24"/>
          <w:szCs w:val="24"/>
        </w:rPr>
        <w:t>100% de capital y mano de obra argentina, y se especializa en la fabricación de fertilizantes líquidos de máxima biodisponibilidad.</w:t>
      </w:r>
      <w:r>
        <w:rPr>
          <w:rFonts w:ascii="Arial" w:eastAsia="Arial" w:hAnsi="Arial" w:cs="Arial"/>
          <w:sz w:val="24"/>
          <w:szCs w:val="24"/>
        </w:rPr>
        <w:t xml:space="preserve"> Aporta una alternativa innovadora a los fertilizantes fosfatados tradicionales, a través de un desarrollo basado en la química fina de roca fosfórica, que da como resultado un producto de calidad internacional y alto valor agregado. </w:t>
      </w:r>
      <w:r w:rsidRPr="00C07693"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Esta tecnología de producción, desarrollada por ALS</w:t>
      </w:r>
      <w:r w:rsidRPr="00C07693">
        <w:rPr>
          <w:rFonts w:ascii="Arial" w:eastAsia="Arial" w:hAnsi="Arial" w:cs="Arial"/>
          <w:b/>
          <w:i/>
          <w:sz w:val="24"/>
          <w:szCs w:val="24"/>
        </w:rPr>
        <w:t>, optimiza el aprovechamiento total del fósforo disponible en el fertilizante</w:t>
      </w:r>
      <w:r>
        <w:rPr>
          <w:rFonts w:ascii="Arial" w:eastAsia="Arial" w:hAnsi="Arial" w:cs="Arial"/>
          <w:i/>
          <w:sz w:val="24"/>
          <w:szCs w:val="24"/>
        </w:rPr>
        <w:t>, permitiendo reemplazar a los fosforados tradicionales sólidos de manera más eficiente. Con MAPLIQUID el productor puede alcanzar la potencialidad total del cultivo</w:t>
      </w:r>
      <w:r>
        <w:rPr>
          <w:rFonts w:ascii="Arial" w:eastAsia="Arial" w:hAnsi="Arial" w:cs="Arial"/>
          <w:sz w:val="24"/>
          <w:szCs w:val="24"/>
        </w:rPr>
        <w:t>”, aseguraron desde la empresa.</w:t>
      </w:r>
    </w:p>
    <w:p w14:paraId="440332D1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esta línea, informaron que las formulaciones arrancadoras líquidas representan una </w:t>
      </w:r>
      <w:r w:rsidRPr="00603573">
        <w:rPr>
          <w:rFonts w:ascii="Arial" w:eastAsia="Arial" w:hAnsi="Arial" w:cs="Arial"/>
          <w:b/>
          <w:sz w:val="24"/>
          <w:szCs w:val="24"/>
        </w:rPr>
        <w:t xml:space="preserve">alternativa de mayor eficiencia para ser integradas en los planes de fertilización, ofreciendo una serie de beneficios destacados. </w:t>
      </w:r>
      <w:r w:rsidRPr="00603573"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Estas formulaciones simplifican las tareas operativas, garantizan una alta biodisponibilidad de los nutrientes y optimizan la ecuación económica del productor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</w:rPr>
        <w:t xml:space="preserve">A estas ventajas </w:t>
      </w:r>
      <w:r w:rsidRPr="00603573">
        <w:rPr>
          <w:rFonts w:ascii="Arial" w:eastAsia="Arial" w:hAnsi="Arial" w:cs="Arial"/>
          <w:b/>
          <w:i/>
          <w:sz w:val="24"/>
          <w:szCs w:val="24"/>
        </w:rPr>
        <w:t>se suman su precisión en la dosificación, su versatilidad en cuanto a la forma y el momento de aplicación, y su capacidad para actuar como un excelente vehículo</w:t>
      </w:r>
      <w:r>
        <w:rPr>
          <w:rFonts w:ascii="Arial" w:eastAsia="Arial" w:hAnsi="Arial" w:cs="Arial"/>
          <w:i/>
          <w:sz w:val="24"/>
          <w:szCs w:val="24"/>
        </w:rPr>
        <w:t xml:space="preserve"> para incorporar </w:t>
      </w: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micronutrientes 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bioestimulantes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adaptándose a las necesidades específicas de cada cultivo y ambiente”,</w:t>
      </w:r>
      <w:r>
        <w:rPr>
          <w:rFonts w:ascii="Arial" w:eastAsia="Arial" w:hAnsi="Arial" w:cs="Arial"/>
          <w:sz w:val="24"/>
          <w:szCs w:val="24"/>
        </w:rPr>
        <w:t xml:space="preserve"> indicaron.</w:t>
      </w:r>
    </w:p>
    <w:p w14:paraId="49C16739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Desde ALS destacaron que </w:t>
      </w:r>
      <w:r w:rsidRPr="00603573"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 xml:space="preserve">MAPLIQUID es un arrancador líquido balanceado NPS, que se presenta como una excelente alternativa como fuente equilibrada de máxima biodisponibilidad. </w:t>
      </w:r>
      <w:r w:rsidRPr="00603573">
        <w:rPr>
          <w:rFonts w:ascii="Arial" w:eastAsia="Arial" w:hAnsi="Arial" w:cs="Arial"/>
          <w:b/>
          <w:i/>
          <w:sz w:val="24"/>
          <w:szCs w:val="24"/>
        </w:rPr>
        <w:t>Contiene fósforo 100% biodisponible con rápida asimilación, no requiere procesos de transformación y ofrece una mayor cantidad de puntos de contact</w:t>
      </w:r>
      <w:r>
        <w:rPr>
          <w:rFonts w:ascii="Arial" w:eastAsia="Arial" w:hAnsi="Arial" w:cs="Arial"/>
          <w:i/>
          <w:sz w:val="24"/>
          <w:szCs w:val="24"/>
        </w:rPr>
        <w:t>o, facilitando su incorporación por parte de las raíces y logrando un alto nivel de eficiencia</w:t>
      </w:r>
      <w:r>
        <w:rPr>
          <w:rFonts w:ascii="Arial" w:eastAsia="Arial" w:hAnsi="Arial" w:cs="Arial"/>
          <w:sz w:val="24"/>
          <w:szCs w:val="24"/>
        </w:rPr>
        <w:t xml:space="preserve">”. Este producto es versátil y ha demostrado su eficacia en diversos ambientes, desde la </w:t>
      </w:r>
      <w:proofErr w:type="spellStart"/>
      <w:r>
        <w:rPr>
          <w:rFonts w:ascii="Arial" w:eastAsia="Arial" w:hAnsi="Arial" w:cs="Arial"/>
          <w:sz w:val="24"/>
          <w:szCs w:val="24"/>
        </w:rPr>
        <w:t>presiembra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cobertura total hasta su incorporación en la siembra o aplicación foliar en post-emergencia. Su forma más eficiente es la incorporación junto a la semilla durante la siembra.</w:t>
      </w:r>
    </w:p>
    <w:p w14:paraId="1BA1D3BF" w14:textId="77777777" w:rsidR="00687212" w:rsidRDefault="00D9772D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603573">
        <w:rPr>
          <w:rFonts w:ascii="Arial" w:eastAsia="Arial" w:hAnsi="Arial" w:cs="Arial"/>
          <w:b/>
          <w:sz w:val="24"/>
          <w:szCs w:val="24"/>
        </w:rPr>
        <w:t>Agri</w:t>
      </w:r>
      <w:proofErr w:type="spellEnd"/>
      <w:r w:rsidRPr="0060357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603573">
        <w:rPr>
          <w:rFonts w:ascii="Arial" w:eastAsia="Arial" w:hAnsi="Arial" w:cs="Arial"/>
          <w:b/>
          <w:sz w:val="24"/>
          <w:szCs w:val="24"/>
        </w:rPr>
        <w:t>Liquid</w:t>
      </w:r>
      <w:proofErr w:type="spellEnd"/>
      <w:r w:rsidRPr="00603573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603573">
        <w:rPr>
          <w:rFonts w:ascii="Arial" w:eastAsia="Arial" w:hAnsi="Arial" w:cs="Arial"/>
          <w:b/>
          <w:sz w:val="24"/>
          <w:szCs w:val="24"/>
        </w:rPr>
        <w:t>Solutions</w:t>
      </w:r>
      <w:proofErr w:type="spellEnd"/>
      <w:r w:rsidRPr="00603573">
        <w:rPr>
          <w:rFonts w:ascii="Arial" w:eastAsia="Arial" w:hAnsi="Arial" w:cs="Arial"/>
          <w:b/>
          <w:sz w:val="24"/>
          <w:szCs w:val="24"/>
        </w:rPr>
        <w:t xml:space="preserve"> Argentina</w:t>
      </w:r>
      <w:r>
        <w:rPr>
          <w:rFonts w:ascii="Arial" w:eastAsia="Arial" w:hAnsi="Arial" w:cs="Arial"/>
          <w:sz w:val="24"/>
          <w:szCs w:val="24"/>
        </w:rPr>
        <w:t xml:space="preserve"> invita a todos sus clientes, amigos y distribuidores a visitar su </w:t>
      </w:r>
      <w:r w:rsidRPr="00603573">
        <w:rPr>
          <w:rFonts w:ascii="Arial" w:eastAsia="Arial" w:hAnsi="Arial" w:cs="Arial"/>
          <w:b/>
          <w:sz w:val="24"/>
          <w:szCs w:val="24"/>
        </w:rPr>
        <w:t>stand nº 1531 en Expoagro</w:t>
      </w:r>
      <w:r>
        <w:rPr>
          <w:rFonts w:ascii="Arial" w:eastAsia="Arial" w:hAnsi="Arial" w:cs="Arial"/>
          <w:sz w:val="24"/>
          <w:szCs w:val="24"/>
        </w:rPr>
        <w:t>, donde podrán descubrir las innovaciones que ofrece la marca.</w:t>
      </w:r>
      <w:bookmarkEnd w:id="0"/>
    </w:p>
    <w:sectPr w:rsidR="00687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54898" w14:textId="77777777" w:rsidR="00244FD9" w:rsidRDefault="00244FD9">
      <w:pPr>
        <w:spacing w:after="0" w:line="240" w:lineRule="auto"/>
      </w:pPr>
      <w:r>
        <w:separator/>
      </w:r>
    </w:p>
  </w:endnote>
  <w:endnote w:type="continuationSeparator" w:id="0">
    <w:p w14:paraId="045D938A" w14:textId="77777777" w:rsidR="00244FD9" w:rsidRDefault="0024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0401" w14:textId="77777777" w:rsidR="00687212" w:rsidRDefault="006872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6882" w14:textId="77777777" w:rsidR="00687212" w:rsidRDefault="00D977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CE13E37" wp14:editId="281C9009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55D1" w14:textId="77777777" w:rsidR="00687212" w:rsidRDefault="006872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1DD8" w14:textId="77777777" w:rsidR="00244FD9" w:rsidRDefault="00244FD9">
      <w:pPr>
        <w:spacing w:after="0" w:line="240" w:lineRule="auto"/>
      </w:pPr>
      <w:r>
        <w:separator/>
      </w:r>
    </w:p>
  </w:footnote>
  <w:footnote w:type="continuationSeparator" w:id="0">
    <w:p w14:paraId="60C40DCB" w14:textId="77777777" w:rsidR="00244FD9" w:rsidRDefault="0024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C79B" w14:textId="77777777" w:rsidR="00687212" w:rsidRDefault="006872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9BA2" w14:textId="77777777" w:rsidR="00687212" w:rsidRDefault="00D977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90AFFBA" wp14:editId="460159DD">
          <wp:extent cx="7647535" cy="128963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6654" w14:textId="77777777" w:rsidR="00687212" w:rsidRDefault="006872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2"/>
    <w:rsid w:val="0001324C"/>
    <w:rsid w:val="00244FD9"/>
    <w:rsid w:val="00442C5B"/>
    <w:rsid w:val="00603573"/>
    <w:rsid w:val="00687212"/>
    <w:rsid w:val="006C7741"/>
    <w:rsid w:val="00C07693"/>
    <w:rsid w:val="00D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64E1"/>
  <w15:docId w15:val="{4D4DC204-0923-4F1C-9B06-8729286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uxIuKwRn4rS4CMpZgt/s6jMjw==">CgMxLjA4AHIhMVM1VTNoY3JRUjViRVRpNUp6OWdxNkZ3Qlh6cEFja2V3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B57FC2-F6F4-4954-B7AF-E8E33E48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CB3BD-25ED-4910-A79B-AE2165558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0AD1C-1469-43DB-ACEC-FD7F09BA838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6</cp:revision>
  <dcterms:created xsi:type="dcterms:W3CDTF">2025-02-03T15:51:00Z</dcterms:created>
  <dcterms:modified xsi:type="dcterms:W3CDTF">2025-02-07T17:29:00Z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