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3E6F" w14:textId="368DA1C5" w:rsidR="00BC16AC" w:rsidRPr="00BC16AC" w:rsidRDefault="00BC16AC" w:rsidP="00BC16AC">
      <w:pPr>
        <w:spacing w:before="100" w:beforeAutospacing="1" w:after="100" w:afterAutospacing="1" w:line="276" w:lineRule="auto"/>
        <w:jc w:val="center"/>
        <w:rPr>
          <w:rFonts w:eastAsia="Times New Roman" w:cstheme="minorHAnsi"/>
          <w:sz w:val="28"/>
          <w:szCs w:val="28"/>
          <w:lang w:eastAsia="es-AR"/>
        </w:rPr>
      </w:pPr>
      <w:r w:rsidRPr="00BC16AC">
        <w:rPr>
          <w:rFonts w:eastAsia="Times New Roman" w:cstheme="minorHAnsi"/>
          <w:b/>
          <w:bCs/>
          <w:sz w:val="28"/>
          <w:szCs w:val="28"/>
          <w:lang w:eastAsia="es-AR"/>
        </w:rPr>
        <w:t>Revolución Agrícola en el Día de la Maquinaria</w:t>
      </w:r>
    </w:p>
    <w:p w14:paraId="244A145F" w14:textId="7918880A" w:rsidR="00BC16AC" w:rsidRPr="00BC16AC" w:rsidRDefault="00BC16AC" w:rsidP="00BC16AC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sz w:val="24"/>
          <w:szCs w:val="24"/>
          <w:lang w:eastAsia="es-AR"/>
        </w:rPr>
      </w:pPr>
      <w:r w:rsidRPr="00BC16AC">
        <w:rPr>
          <w:rFonts w:eastAsia="Times New Roman" w:cstheme="minorHAnsi"/>
          <w:i/>
          <w:sz w:val="24"/>
          <w:szCs w:val="24"/>
          <w:lang w:eastAsia="es-AR"/>
        </w:rPr>
        <w:t xml:space="preserve">En un mundo donde la demanda de alimentos crece de manera imparable, </w:t>
      </w:r>
      <w:r>
        <w:rPr>
          <w:rFonts w:eastAsia="Times New Roman" w:cstheme="minorHAnsi"/>
          <w:i/>
          <w:sz w:val="24"/>
          <w:szCs w:val="24"/>
          <w:lang w:eastAsia="es-AR"/>
        </w:rPr>
        <w:t>la Metalmecánica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 xml:space="preserve"> se convierte en un faro de esperan</w:t>
      </w:r>
      <w:r>
        <w:rPr>
          <w:rFonts w:eastAsia="Times New Roman" w:cstheme="minorHAnsi"/>
          <w:i/>
          <w:sz w:val="24"/>
          <w:szCs w:val="24"/>
          <w:lang w:eastAsia="es-AR"/>
        </w:rPr>
        <w:t xml:space="preserve">za y transformación. </w:t>
      </w:r>
      <w:r w:rsidR="003D2B83">
        <w:rPr>
          <w:rFonts w:eastAsia="Times New Roman" w:cstheme="minorHAnsi"/>
          <w:i/>
          <w:sz w:val="24"/>
          <w:szCs w:val="24"/>
          <w:lang w:eastAsia="es-AR"/>
        </w:rPr>
        <w:t>El 12 de diciembre se celebra su evolución y se plantea un gran desafío:</w:t>
      </w:r>
      <w:r>
        <w:rPr>
          <w:rFonts w:eastAsia="Times New Roman" w:cstheme="minorHAnsi"/>
          <w:i/>
          <w:sz w:val="24"/>
          <w:szCs w:val="24"/>
          <w:lang w:eastAsia="es-AR"/>
        </w:rPr>
        <w:t xml:space="preserve"> ¿C</w:t>
      </w:r>
      <w:r w:rsidR="005424CF">
        <w:rPr>
          <w:rFonts w:eastAsia="Times New Roman" w:cstheme="minorHAnsi"/>
          <w:i/>
          <w:sz w:val="24"/>
          <w:szCs w:val="24"/>
          <w:lang w:eastAsia="es-AR"/>
        </w:rPr>
        <w:t>ómo puede el productor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 xml:space="preserve"> cultivar más y mejor, sin comprometer nuestro planeta?</w:t>
      </w:r>
    </w:p>
    <w:p w14:paraId="48FC57A7" w14:textId="0717A315" w:rsidR="00BC16AC" w:rsidRPr="00BC16AC" w:rsidRDefault="00BC16AC" w:rsidP="00BC16A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BC16AC">
        <w:rPr>
          <w:rFonts w:eastAsia="Times New Roman" w:cstheme="minorHAnsi"/>
          <w:sz w:val="24"/>
          <w:szCs w:val="24"/>
          <w:lang w:eastAsia="es-AR"/>
        </w:rPr>
        <w:t xml:space="preserve">La inteligencia artificial y las tecnologías avanzadas están reescribiendo las reglas del juego en la agroindustria. </w:t>
      </w:r>
      <w:r w:rsidRPr="00BC16AC">
        <w:rPr>
          <w:rFonts w:eastAsia="Times New Roman" w:cstheme="minorHAnsi"/>
          <w:b/>
          <w:sz w:val="24"/>
          <w:szCs w:val="24"/>
          <w:lang w:eastAsia="es-AR"/>
        </w:rPr>
        <w:t xml:space="preserve">Hernán Ferrari, Master </w:t>
      </w:r>
      <w:proofErr w:type="spellStart"/>
      <w:r w:rsidRPr="00BC16AC">
        <w:rPr>
          <w:rFonts w:eastAsia="Times New Roman" w:cstheme="minorHAnsi"/>
          <w:b/>
          <w:sz w:val="24"/>
          <w:szCs w:val="24"/>
          <w:lang w:eastAsia="es-AR"/>
        </w:rPr>
        <w:t>Science</w:t>
      </w:r>
      <w:proofErr w:type="spellEnd"/>
      <w:r w:rsidRPr="00BC16AC">
        <w:rPr>
          <w:rFonts w:eastAsia="Times New Roman" w:cstheme="minorHAnsi"/>
          <w:b/>
          <w:sz w:val="24"/>
          <w:szCs w:val="24"/>
          <w:lang w:eastAsia="es-AR"/>
        </w:rPr>
        <w:t xml:space="preserve"> e Ingeniero Agr</w:t>
      </w:r>
      <w:r w:rsidR="002E3D87">
        <w:rPr>
          <w:rFonts w:eastAsia="Times New Roman" w:cstheme="minorHAnsi"/>
          <w:b/>
          <w:sz w:val="24"/>
          <w:szCs w:val="24"/>
          <w:lang w:eastAsia="es-AR"/>
        </w:rPr>
        <w:t>ónomo del INTA</w:t>
      </w:r>
      <w:r w:rsidR="002E3D87" w:rsidRPr="002E3D87">
        <w:rPr>
          <w:rFonts w:eastAsia="Times New Roman" w:cstheme="minorHAnsi"/>
          <w:b/>
          <w:sz w:val="24"/>
          <w:szCs w:val="24"/>
          <w:lang w:eastAsia="es-AR"/>
        </w:rPr>
        <w:t xml:space="preserve"> Concepción del Uruguay</w:t>
      </w:r>
      <w:r w:rsidR="00291228">
        <w:rPr>
          <w:rFonts w:eastAsia="Times New Roman" w:cstheme="minorHAnsi"/>
          <w:sz w:val="24"/>
          <w:szCs w:val="24"/>
          <w:lang w:eastAsia="es-AR"/>
        </w:rPr>
        <w:t>, explicó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que 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>“la I</w:t>
      </w:r>
      <w:r w:rsidR="00291228" w:rsidRPr="00291228">
        <w:rPr>
          <w:rFonts w:eastAsia="Times New Roman" w:cstheme="minorHAnsi"/>
          <w:i/>
          <w:sz w:val="24"/>
          <w:szCs w:val="24"/>
          <w:lang w:eastAsia="es-AR"/>
        </w:rPr>
        <w:t xml:space="preserve">nteligencia 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>A</w:t>
      </w:r>
      <w:r w:rsidR="00291228" w:rsidRPr="00291228">
        <w:rPr>
          <w:rFonts w:eastAsia="Times New Roman" w:cstheme="minorHAnsi"/>
          <w:i/>
          <w:sz w:val="24"/>
          <w:szCs w:val="24"/>
          <w:lang w:eastAsia="es-AR"/>
        </w:rPr>
        <w:t>rtificial (IA)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 xml:space="preserve"> y la robotización en la maquinaria agrícola están revolucionando la producción de alimentos. Se estima que estas tecnologías pueden incrementar la eficiencia en la utilización de recursos hasta en un 25%”. </w:t>
      </w:r>
      <w:r w:rsidRPr="00BC16AC">
        <w:rPr>
          <w:rFonts w:eastAsia="Times New Roman" w:cstheme="minorHAnsi"/>
          <w:sz w:val="24"/>
          <w:szCs w:val="24"/>
          <w:lang w:eastAsia="es-AR"/>
        </w:rPr>
        <w:t>En un contexto donde se proyecta que la población mundial crecerá un 60% para 2050, estas innovaciones son cruciales para asegurar la seguridad alimentaria.</w:t>
      </w:r>
    </w:p>
    <w:p w14:paraId="13BB8507" w14:textId="1EB7BE60" w:rsidR="00BC16AC" w:rsidRPr="00BC16AC" w:rsidRDefault="00BC16AC" w:rsidP="00BC16A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6190F">
        <w:rPr>
          <w:rFonts w:eastAsia="Times New Roman" w:cstheme="minorHAnsi"/>
          <w:sz w:val="24"/>
          <w:szCs w:val="24"/>
          <w:lang w:eastAsia="es-AR"/>
        </w:rPr>
        <w:t>Pe</w:t>
      </w:r>
      <w:r w:rsidR="007F1FFF" w:rsidRPr="00E6190F">
        <w:rPr>
          <w:rFonts w:eastAsia="Times New Roman" w:cstheme="minorHAnsi"/>
          <w:sz w:val="24"/>
          <w:szCs w:val="24"/>
          <w:lang w:eastAsia="es-AR"/>
        </w:rPr>
        <w:t>ro no se trata solo</w:t>
      </w:r>
      <w:r w:rsidR="007F1FFF">
        <w:rPr>
          <w:rFonts w:eastAsia="Times New Roman" w:cstheme="minorHAnsi"/>
          <w:sz w:val="24"/>
          <w:szCs w:val="24"/>
          <w:lang w:eastAsia="es-AR"/>
        </w:rPr>
        <w:t xml:space="preserve"> de números</w:t>
      </w:r>
      <w:r w:rsidR="007F1FFF" w:rsidRPr="007F1FFF">
        <w:rPr>
          <w:rFonts w:eastAsia="Times New Roman" w:cstheme="minorHAnsi"/>
          <w:sz w:val="24"/>
          <w:szCs w:val="24"/>
          <w:lang w:eastAsia="es-AR"/>
        </w:rPr>
        <w:t>;</w:t>
      </w:r>
      <w:r w:rsidRPr="007F1FFF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D2678C" w:rsidRPr="007F1FFF">
        <w:rPr>
          <w:rFonts w:eastAsia="Times New Roman" w:cstheme="minorHAnsi"/>
          <w:sz w:val="24"/>
          <w:szCs w:val="24"/>
          <w:lang w:eastAsia="es-AR"/>
        </w:rPr>
        <w:t xml:space="preserve">sino también </w:t>
      </w:r>
      <w:r w:rsidRPr="007F1FFF">
        <w:rPr>
          <w:rFonts w:eastAsia="Times New Roman" w:cstheme="minorHAnsi"/>
          <w:sz w:val="24"/>
          <w:szCs w:val="24"/>
          <w:lang w:eastAsia="es-AR"/>
        </w:rPr>
        <w:t>de un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cambio de mentalidad. </w:t>
      </w:r>
      <w:r w:rsidRPr="00BC16AC">
        <w:rPr>
          <w:rFonts w:eastAsia="Times New Roman" w:cstheme="minorHAnsi"/>
          <w:b/>
          <w:sz w:val="24"/>
          <w:szCs w:val="24"/>
          <w:lang w:eastAsia="es-AR"/>
        </w:rPr>
        <w:t xml:space="preserve">Adriana Godoy, </w:t>
      </w:r>
      <w:r w:rsidR="003A6AF5" w:rsidRPr="00BC16AC">
        <w:rPr>
          <w:rFonts w:eastAsia="Times New Roman" w:cstheme="minorHAnsi"/>
          <w:b/>
          <w:sz w:val="24"/>
          <w:szCs w:val="24"/>
          <w:lang w:eastAsia="es-AR"/>
        </w:rPr>
        <w:t xml:space="preserve">Master </w:t>
      </w:r>
      <w:proofErr w:type="spellStart"/>
      <w:r w:rsidR="003A6AF5" w:rsidRPr="00BC16AC">
        <w:rPr>
          <w:rFonts w:eastAsia="Times New Roman" w:cstheme="minorHAnsi"/>
          <w:b/>
          <w:sz w:val="24"/>
          <w:szCs w:val="24"/>
          <w:lang w:eastAsia="es-AR"/>
        </w:rPr>
        <w:t>Science</w:t>
      </w:r>
      <w:proofErr w:type="spellEnd"/>
      <w:r w:rsidR="003A6AF5" w:rsidRPr="00BC16AC">
        <w:rPr>
          <w:rFonts w:eastAsia="Times New Roman" w:cstheme="minorHAnsi"/>
          <w:b/>
          <w:sz w:val="24"/>
          <w:szCs w:val="24"/>
          <w:lang w:eastAsia="es-AR"/>
        </w:rPr>
        <w:t xml:space="preserve"> </w:t>
      </w:r>
      <w:r w:rsidR="003A6AF5">
        <w:rPr>
          <w:rFonts w:eastAsia="Times New Roman" w:cstheme="minorHAnsi"/>
          <w:b/>
          <w:sz w:val="24"/>
          <w:szCs w:val="24"/>
          <w:lang w:eastAsia="es-AR"/>
        </w:rPr>
        <w:t xml:space="preserve">e ingeniera agrónoma del INTA, </w:t>
      </w:r>
      <w:r w:rsidRPr="00BC16AC">
        <w:rPr>
          <w:rFonts w:eastAsia="Times New Roman" w:cstheme="minorHAnsi"/>
          <w:b/>
          <w:sz w:val="24"/>
          <w:szCs w:val="24"/>
          <w:lang w:eastAsia="es-AR"/>
        </w:rPr>
        <w:t>docente de la Universidad de Salta</w:t>
      </w:r>
      <w:r w:rsidR="0066697E">
        <w:rPr>
          <w:rFonts w:eastAsia="Times New Roman" w:cstheme="minorHAnsi"/>
          <w:b/>
          <w:sz w:val="24"/>
          <w:szCs w:val="24"/>
          <w:lang w:eastAsia="es-AR"/>
        </w:rPr>
        <w:t xml:space="preserve"> y jurado del Premio </w:t>
      </w:r>
      <w:proofErr w:type="spellStart"/>
      <w:r w:rsidR="0066697E">
        <w:rPr>
          <w:rFonts w:eastAsia="Times New Roman" w:cstheme="minorHAnsi"/>
          <w:b/>
          <w:sz w:val="24"/>
          <w:szCs w:val="24"/>
          <w:lang w:eastAsia="es-AR"/>
        </w:rPr>
        <w:t>Ternium</w:t>
      </w:r>
      <w:proofErr w:type="spellEnd"/>
      <w:r w:rsidR="0066697E">
        <w:rPr>
          <w:rFonts w:eastAsia="Times New Roman" w:cstheme="minorHAnsi"/>
          <w:b/>
          <w:sz w:val="24"/>
          <w:szCs w:val="24"/>
          <w:lang w:eastAsia="es-AR"/>
        </w:rPr>
        <w:t xml:space="preserve"> Expoagro a la innovación Agroindustrial</w:t>
      </w:r>
      <w:r w:rsidR="00574211">
        <w:rPr>
          <w:rFonts w:eastAsia="Times New Roman" w:cstheme="minorHAnsi"/>
          <w:sz w:val="24"/>
          <w:szCs w:val="24"/>
          <w:lang w:eastAsia="es-AR"/>
        </w:rPr>
        <w:t>, destacó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que 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 xml:space="preserve">“la maquinaria agrícola en Argentina presenta atributos de distintos niveles tecnológicos”. </w:t>
      </w:r>
      <w:r w:rsidRPr="00BC16AC">
        <w:rPr>
          <w:rFonts w:eastAsia="Times New Roman" w:cstheme="minorHAnsi"/>
          <w:sz w:val="24"/>
          <w:szCs w:val="24"/>
          <w:lang w:eastAsia="es-AR"/>
        </w:rPr>
        <w:t>Con la incorporación de</w:t>
      </w:r>
      <w:r w:rsidR="005424CF">
        <w:rPr>
          <w:rFonts w:eastAsia="Times New Roman" w:cstheme="minorHAnsi"/>
          <w:sz w:val="24"/>
          <w:szCs w:val="24"/>
          <w:lang w:eastAsia="es-AR"/>
        </w:rPr>
        <w:t xml:space="preserve"> las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Pr="00BC16AC">
        <w:rPr>
          <w:rFonts w:eastAsia="Times New Roman" w:cstheme="minorHAnsi"/>
          <w:sz w:val="24"/>
          <w:szCs w:val="24"/>
          <w:lang w:eastAsia="es-AR"/>
        </w:rPr>
        <w:t>AgTech</w:t>
      </w:r>
      <w:proofErr w:type="spellEnd"/>
      <w:r w:rsidRPr="00BC16AC">
        <w:rPr>
          <w:rFonts w:eastAsia="Times New Roman" w:cstheme="minorHAnsi"/>
          <w:sz w:val="24"/>
          <w:szCs w:val="24"/>
          <w:lang w:eastAsia="es-AR"/>
        </w:rPr>
        <w:t>, se abre un mundo de posibilidades: georreferenciación, telemetría y automatización permiten que los agricultores optimicen cada hectárea de su terreno</w:t>
      </w:r>
      <w:r w:rsidR="00E6190F">
        <w:rPr>
          <w:rFonts w:eastAsia="Times New Roman" w:cstheme="minorHAnsi"/>
          <w:i/>
          <w:sz w:val="24"/>
          <w:szCs w:val="24"/>
          <w:lang w:eastAsia="es-AR"/>
        </w:rPr>
        <w:t>. “Estas tecnologías mejoran la precisión y</w:t>
      </w:r>
      <w:r w:rsidRPr="00BC16AC">
        <w:rPr>
          <w:rFonts w:eastAsia="Times New Roman" w:cstheme="minorHAnsi"/>
          <w:i/>
          <w:sz w:val="24"/>
          <w:szCs w:val="24"/>
          <w:lang w:eastAsia="es-AR"/>
        </w:rPr>
        <w:t xml:space="preserve"> transforman la forma en que entendemos el campo”</w:t>
      </w:r>
      <w:r w:rsidR="00574211">
        <w:rPr>
          <w:rFonts w:eastAsia="Times New Roman" w:cstheme="minorHAnsi"/>
          <w:sz w:val="24"/>
          <w:szCs w:val="24"/>
          <w:lang w:eastAsia="es-AR"/>
        </w:rPr>
        <w:t>, agregó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Godoy.</w:t>
      </w:r>
    </w:p>
    <w:p w14:paraId="1BEB0B7A" w14:textId="3E03B405" w:rsidR="00BC16AC" w:rsidRDefault="00BC16AC" w:rsidP="00BC16A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BC16AC">
        <w:rPr>
          <w:rFonts w:eastAsia="Times New Roman" w:cstheme="minorHAnsi"/>
          <w:sz w:val="24"/>
          <w:szCs w:val="24"/>
          <w:lang w:eastAsia="es-AR"/>
        </w:rPr>
        <w:t xml:space="preserve">Sin embargo, la clave para esta </w:t>
      </w:r>
      <w:r w:rsidRPr="0077236B">
        <w:rPr>
          <w:rFonts w:eastAsia="Times New Roman" w:cstheme="minorHAnsi"/>
          <w:sz w:val="24"/>
          <w:szCs w:val="24"/>
          <w:lang w:eastAsia="es-AR"/>
        </w:rPr>
        <w:t>revolución no está únicamente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en la tecnología, sino también e</w:t>
      </w:r>
      <w:r w:rsidR="005424CF">
        <w:rPr>
          <w:rFonts w:eastAsia="Times New Roman" w:cstheme="minorHAnsi"/>
          <w:sz w:val="24"/>
          <w:szCs w:val="24"/>
          <w:lang w:eastAsia="es-AR"/>
        </w:rPr>
        <w:t>n la capacitación. Godoy subrayó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la necesidad de formar a los operarios y fortalecer los servicios postventa, asegurando que estas herramientas se utilicen al máximo de su potencial.</w:t>
      </w:r>
    </w:p>
    <w:p w14:paraId="63AF7C28" w14:textId="1130FD19" w:rsidR="00574211" w:rsidRPr="00BC16AC" w:rsidRDefault="00574211" w:rsidP="00BC16AC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z w:val="24"/>
          <w:szCs w:val="24"/>
          <w:lang w:eastAsia="es-AR"/>
        </w:rPr>
      </w:pPr>
      <w:r w:rsidRPr="00574211">
        <w:rPr>
          <w:rFonts w:eastAsia="Times New Roman" w:cstheme="minorHAnsi"/>
          <w:b/>
          <w:sz w:val="24"/>
          <w:szCs w:val="24"/>
          <w:lang w:eastAsia="es-AR"/>
        </w:rPr>
        <w:t>Transformación agrícola</w:t>
      </w:r>
    </w:p>
    <w:p w14:paraId="2324080F" w14:textId="47442E2E" w:rsidR="00BC16AC" w:rsidRPr="00F25FFB" w:rsidRDefault="007F1FFF" w:rsidP="00F25FFB">
      <w:pPr>
        <w:pStyle w:val="Ttulo2"/>
        <w:spacing w:line="276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7F1FFF">
        <w:rPr>
          <w:rFonts w:asciiTheme="minorHAnsi" w:hAnsiTheme="minorHAnsi" w:cstheme="minorHAnsi"/>
          <w:b w:val="0"/>
          <w:sz w:val="24"/>
          <w:szCs w:val="24"/>
        </w:rPr>
        <w:t>De esta forma,</w:t>
      </w:r>
      <w:r w:rsidRPr="007F1FFF">
        <w:rPr>
          <w:rFonts w:asciiTheme="minorHAnsi" w:hAnsiTheme="minorHAnsi" w:cstheme="minorHAnsi"/>
          <w:sz w:val="24"/>
          <w:szCs w:val="24"/>
        </w:rPr>
        <w:t xml:space="preserve"> </w:t>
      </w:r>
      <w:r w:rsidR="00015F2C" w:rsidRPr="007F1FFF">
        <w:rPr>
          <w:rFonts w:asciiTheme="minorHAnsi" w:hAnsiTheme="minorHAnsi" w:cstheme="minorHAnsi"/>
          <w:sz w:val="24"/>
          <w:szCs w:val="24"/>
        </w:rPr>
        <w:t>Nico</w:t>
      </w:r>
      <w:r w:rsidR="00A12761">
        <w:rPr>
          <w:rFonts w:asciiTheme="minorHAnsi" w:hAnsiTheme="minorHAnsi" w:cstheme="minorHAnsi"/>
          <w:sz w:val="24"/>
          <w:szCs w:val="24"/>
        </w:rPr>
        <w:t>lás</w:t>
      </w:r>
      <w:r w:rsidR="00015F2C" w:rsidRPr="007F1F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15F2C" w:rsidRPr="007F1FFF">
        <w:rPr>
          <w:rFonts w:asciiTheme="minorHAnsi" w:hAnsiTheme="minorHAnsi" w:cstheme="minorHAnsi"/>
          <w:sz w:val="24"/>
          <w:szCs w:val="24"/>
        </w:rPr>
        <w:t>Marinelli</w:t>
      </w:r>
      <w:proofErr w:type="spellEnd"/>
      <w:r w:rsidR="00015F2C" w:rsidRPr="007F1FFF">
        <w:rPr>
          <w:rFonts w:asciiTheme="minorHAnsi" w:hAnsiTheme="minorHAnsi" w:cstheme="minorHAnsi"/>
          <w:sz w:val="24"/>
          <w:szCs w:val="24"/>
        </w:rPr>
        <w:t xml:space="preserve">, </w:t>
      </w:r>
      <w:r w:rsidR="00F25FFB" w:rsidRPr="007F1FFF">
        <w:rPr>
          <w:rFonts w:asciiTheme="minorHAnsi" w:hAnsiTheme="minorHAnsi" w:cstheme="minorHAnsi"/>
          <w:sz w:val="24"/>
          <w:szCs w:val="24"/>
        </w:rPr>
        <w:t xml:space="preserve">socio de </w:t>
      </w:r>
      <w:proofErr w:type="spellStart"/>
      <w:r w:rsidR="00015F2C" w:rsidRPr="007F1FFF">
        <w:rPr>
          <w:rFonts w:asciiTheme="minorHAnsi" w:hAnsiTheme="minorHAnsi" w:cstheme="minorHAnsi"/>
          <w:sz w:val="24"/>
          <w:szCs w:val="24"/>
        </w:rPr>
        <w:t>Marinelli</w:t>
      </w:r>
      <w:proofErr w:type="spellEnd"/>
      <w:r w:rsidR="00015F2C" w:rsidRPr="007F1F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15F2C" w:rsidRPr="007F1FFF">
        <w:rPr>
          <w:rFonts w:asciiTheme="minorHAnsi" w:hAnsiTheme="minorHAnsi" w:cstheme="minorHAnsi"/>
          <w:sz w:val="24"/>
          <w:szCs w:val="24"/>
        </w:rPr>
        <w:t>Technology</w:t>
      </w:r>
      <w:proofErr w:type="spellEnd"/>
      <w:r w:rsidR="00015F2C" w:rsidRPr="007F1FFF">
        <w:rPr>
          <w:rFonts w:asciiTheme="minorHAnsi" w:hAnsiTheme="minorHAnsi" w:cstheme="minorHAnsi"/>
          <w:b w:val="0"/>
          <w:sz w:val="24"/>
          <w:szCs w:val="24"/>
        </w:rPr>
        <w:t>,</w:t>
      </w:r>
      <w:r w:rsidRPr="007F1FFF">
        <w:rPr>
          <w:rFonts w:asciiTheme="minorHAnsi" w:hAnsiTheme="minorHAnsi" w:cstheme="minorHAnsi"/>
          <w:b w:val="0"/>
          <w:sz w:val="24"/>
          <w:szCs w:val="24"/>
        </w:rPr>
        <w:t xml:space="preserve"> y</w:t>
      </w:r>
      <w:r w:rsidR="00574211" w:rsidRPr="007F1FFF">
        <w:rPr>
          <w:rFonts w:asciiTheme="minorHAnsi" w:hAnsiTheme="minorHAnsi" w:cstheme="minorHAnsi"/>
          <w:b w:val="0"/>
          <w:sz w:val="24"/>
          <w:szCs w:val="24"/>
        </w:rPr>
        <w:t xml:space="preserve"> referente del sector</w:t>
      </w:r>
      <w:r w:rsidRPr="007F1FFF">
        <w:rPr>
          <w:rFonts w:asciiTheme="minorHAnsi" w:hAnsiTheme="minorHAnsi" w:cstheme="minorHAnsi"/>
          <w:b w:val="0"/>
          <w:sz w:val="24"/>
          <w:szCs w:val="24"/>
        </w:rPr>
        <w:t xml:space="preserve"> metalmecánico, </w:t>
      </w:r>
      <w:r w:rsidR="00F25FFB" w:rsidRPr="007F1FFF">
        <w:rPr>
          <w:rFonts w:asciiTheme="minorHAnsi" w:hAnsiTheme="minorHAnsi" w:cstheme="minorHAnsi"/>
          <w:b w:val="0"/>
          <w:sz w:val="24"/>
          <w:szCs w:val="24"/>
        </w:rPr>
        <w:t>señaló</w:t>
      </w:r>
      <w:r w:rsidR="00D2678C" w:rsidRPr="007F1FFF">
        <w:rPr>
          <w:rFonts w:asciiTheme="minorHAnsi" w:hAnsiTheme="minorHAnsi" w:cstheme="minorHAnsi"/>
          <w:b w:val="0"/>
          <w:sz w:val="24"/>
          <w:szCs w:val="24"/>
        </w:rPr>
        <w:t>:</w:t>
      </w:r>
      <w:r w:rsidR="00BC16AC" w:rsidRPr="00F25FF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C16AC" w:rsidRPr="00F25FFB">
        <w:rPr>
          <w:rFonts w:asciiTheme="minorHAnsi" w:hAnsiTheme="minorHAnsi" w:cstheme="minorHAnsi"/>
          <w:b w:val="0"/>
          <w:i/>
          <w:sz w:val="24"/>
          <w:szCs w:val="24"/>
        </w:rPr>
        <w:t>“Argentina está a la vanguardia en la adopción de estas tecnologías”</w:t>
      </w:r>
      <w:r w:rsidR="00BC16AC" w:rsidRPr="00F25FFB">
        <w:rPr>
          <w:rFonts w:asciiTheme="minorHAnsi" w:hAnsiTheme="minorHAnsi" w:cstheme="minorHAnsi"/>
          <w:b w:val="0"/>
          <w:sz w:val="24"/>
          <w:szCs w:val="24"/>
        </w:rPr>
        <w:t xml:space="preserve">. Para él, la constante evolución en maquinaria agrícola </w:t>
      </w:r>
      <w:r w:rsidR="0077236B">
        <w:rPr>
          <w:rFonts w:asciiTheme="minorHAnsi" w:hAnsiTheme="minorHAnsi" w:cstheme="minorHAnsi"/>
          <w:b w:val="0"/>
          <w:sz w:val="24"/>
          <w:szCs w:val="24"/>
        </w:rPr>
        <w:t>es</w:t>
      </w:r>
      <w:r w:rsidR="00BC16AC" w:rsidRPr="00F25FF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7236B">
        <w:rPr>
          <w:rFonts w:asciiTheme="minorHAnsi" w:hAnsiTheme="minorHAnsi" w:cstheme="minorHAnsi"/>
          <w:b w:val="0"/>
          <w:sz w:val="24"/>
          <w:szCs w:val="24"/>
        </w:rPr>
        <w:t>una cuestión de innovación, y también</w:t>
      </w:r>
      <w:r w:rsidR="00BC16AC" w:rsidRPr="00F25FFB">
        <w:rPr>
          <w:rFonts w:asciiTheme="minorHAnsi" w:hAnsiTheme="minorHAnsi" w:cstheme="minorHAnsi"/>
          <w:b w:val="0"/>
          <w:sz w:val="24"/>
          <w:szCs w:val="24"/>
        </w:rPr>
        <w:t xml:space="preserve"> de supervivencia</w:t>
      </w:r>
      <w:r w:rsidR="0077236B">
        <w:rPr>
          <w:rFonts w:asciiTheme="minorHAnsi" w:hAnsiTheme="minorHAnsi" w:cstheme="minorHAnsi"/>
          <w:b w:val="0"/>
          <w:sz w:val="24"/>
          <w:szCs w:val="24"/>
        </w:rPr>
        <w:t>,</w:t>
      </w:r>
      <w:r w:rsidR="00BC16AC" w:rsidRPr="00F25FFB">
        <w:rPr>
          <w:rFonts w:asciiTheme="minorHAnsi" w:hAnsiTheme="minorHAnsi" w:cstheme="minorHAnsi"/>
          <w:b w:val="0"/>
          <w:sz w:val="24"/>
          <w:szCs w:val="24"/>
        </w:rPr>
        <w:t xml:space="preserve"> en un ambiente productivo que enfrenta desafíos sin precedentes.</w:t>
      </w:r>
    </w:p>
    <w:p w14:paraId="3855FEE4" w14:textId="4DF6FBD5" w:rsidR="00BC16AC" w:rsidRPr="00BC16AC" w:rsidRDefault="00BC16AC" w:rsidP="00BC16AC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z w:val="24"/>
          <w:szCs w:val="24"/>
          <w:lang w:eastAsia="es-AR"/>
        </w:rPr>
      </w:pPr>
      <w:r w:rsidRPr="00BC16AC">
        <w:rPr>
          <w:rFonts w:eastAsia="Times New Roman" w:cstheme="minorHAnsi"/>
          <w:sz w:val="24"/>
          <w:szCs w:val="24"/>
          <w:lang w:eastAsia="es-AR"/>
        </w:rPr>
        <w:t xml:space="preserve">En este contexto, la maquinaria agrícola se convierte en un aliado indispensable. </w:t>
      </w:r>
      <w:r w:rsidRPr="0077236B">
        <w:rPr>
          <w:rFonts w:eastAsia="Times New Roman" w:cstheme="minorHAnsi"/>
          <w:sz w:val="24"/>
          <w:szCs w:val="24"/>
          <w:lang w:eastAsia="es-AR"/>
        </w:rPr>
        <w:t>No solo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se trata de cultivar, sino de </w:t>
      </w:r>
      <w:r w:rsidR="00254B32">
        <w:rPr>
          <w:rFonts w:eastAsia="Times New Roman" w:cstheme="minorHAnsi"/>
          <w:sz w:val="24"/>
          <w:szCs w:val="24"/>
          <w:lang w:eastAsia="es-AR"/>
        </w:rPr>
        <w:t>hacerlo de manera que se proteja el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medio ambiente. </w:t>
      </w:r>
      <w:r w:rsidR="0066697E">
        <w:rPr>
          <w:rFonts w:eastAsia="Times New Roman" w:cstheme="minorHAnsi"/>
          <w:sz w:val="24"/>
          <w:szCs w:val="24"/>
          <w:lang w:eastAsia="es-AR"/>
        </w:rPr>
        <w:t>“</w:t>
      </w:r>
      <w:r w:rsidRPr="00BC16AC">
        <w:rPr>
          <w:rFonts w:eastAsia="Times New Roman" w:cstheme="minorHAnsi"/>
          <w:b/>
          <w:sz w:val="24"/>
          <w:szCs w:val="24"/>
          <w:lang w:eastAsia="es-AR"/>
        </w:rPr>
        <w:t xml:space="preserve">Las decisiones que se tomen hoy influirán en cómo alimentaremos a una población </w:t>
      </w:r>
      <w:r w:rsidRPr="00BC16AC">
        <w:rPr>
          <w:rFonts w:eastAsia="Times New Roman" w:cstheme="minorHAnsi"/>
          <w:b/>
          <w:sz w:val="24"/>
          <w:szCs w:val="24"/>
          <w:lang w:eastAsia="es-AR"/>
        </w:rPr>
        <w:lastRenderedPageBreak/>
        <w:t>creciente, y el compromiso con la sostenibilidad se convierte en un imperativo</w:t>
      </w:r>
      <w:r w:rsidR="0066697E">
        <w:rPr>
          <w:rFonts w:eastAsia="Times New Roman" w:cstheme="minorHAnsi"/>
          <w:b/>
          <w:sz w:val="24"/>
          <w:szCs w:val="24"/>
          <w:lang w:eastAsia="es-AR"/>
        </w:rPr>
        <w:t xml:space="preserve">”, </w:t>
      </w:r>
      <w:r w:rsidR="0066697E" w:rsidRPr="0066697E">
        <w:rPr>
          <w:rFonts w:eastAsia="Times New Roman" w:cstheme="minorHAnsi"/>
          <w:sz w:val="24"/>
          <w:szCs w:val="24"/>
          <w:lang w:eastAsia="es-AR"/>
        </w:rPr>
        <w:t>concluyó</w:t>
      </w:r>
      <w:r w:rsidR="005A09C6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="005A09C6">
        <w:rPr>
          <w:rFonts w:eastAsia="Times New Roman" w:cstheme="minorHAnsi"/>
          <w:sz w:val="24"/>
          <w:szCs w:val="24"/>
          <w:lang w:eastAsia="es-AR"/>
        </w:rPr>
        <w:t>Marinelli</w:t>
      </w:r>
      <w:proofErr w:type="spellEnd"/>
      <w:r w:rsidR="0066697E" w:rsidRPr="0066697E">
        <w:rPr>
          <w:rFonts w:eastAsia="Times New Roman" w:cstheme="minorHAnsi"/>
          <w:sz w:val="24"/>
          <w:szCs w:val="24"/>
          <w:lang w:eastAsia="es-AR"/>
        </w:rPr>
        <w:t>.</w:t>
      </w:r>
    </w:p>
    <w:p w14:paraId="562049B1" w14:textId="2A74164C" w:rsidR="00BC16AC" w:rsidRPr="00BC16AC" w:rsidRDefault="00BC16AC" w:rsidP="00BC16A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A8538B">
        <w:rPr>
          <w:rFonts w:eastAsia="Times New Roman" w:cstheme="minorHAnsi"/>
          <w:sz w:val="24"/>
          <w:szCs w:val="24"/>
          <w:lang w:eastAsia="es-AR"/>
        </w:rPr>
        <w:t>Con el futuro de la agricultura en juego, el Día de la Maquinaria Agrícola no es solo una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celebración, sino un</w:t>
      </w:r>
      <w:r w:rsidR="005A09C6">
        <w:rPr>
          <w:rFonts w:eastAsia="Times New Roman" w:cstheme="minorHAnsi"/>
          <w:sz w:val="24"/>
          <w:szCs w:val="24"/>
          <w:lang w:eastAsia="es-AR"/>
        </w:rPr>
        <w:t>a invitación a repensar las nuevas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prácticas</w:t>
      </w:r>
      <w:r w:rsidR="005A09C6">
        <w:rPr>
          <w:rFonts w:eastAsia="Times New Roman" w:cstheme="minorHAnsi"/>
          <w:sz w:val="24"/>
          <w:szCs w:val="24"/>
          <w:lang w:eastAsia="es-AR"/>
        </w:rPr>
        <w:t xml:space="preserve"> y a adoptar tecnologías que</w:t>
      </w:r>
      <w:r w:rsidR="00A8538B">
        <w:rPr>
          <w:rFonts w:eastAsia="Times New Roman" w:cstheme="minorHAnsi"/>
          <w:sz w:val="24"/>
          <w:szCs w:val="24"/>
          <w:lang w:eastAsia="es-AR"/>
        </w:rPr>
        <w:t xml:space="preserve"> permitan sembrar, además de cultivos,</w:t>
      </w:r>
      <w:r w:rsidRPr="00BC16AC">
        <w:rPr>
          <w:rFonts w:eastAsia="Times New Roman" w:cstheme="minorHAnsi"/>
          <w:sz w:val="24"/>
          <w:szCs w:val="24"/>
          <w:lang w:eastAsia="es-AR"/>
        </w:rPr>
        <w:t xml:space="preserve"> un futuro más sostenible para todos.</w:t>
      </w:r>
    </w:p>
    <w:p w14:paraId="61AB5F6B" w14:textId="343FCAC7" w:rsidR="00574211" w:rsidRDefault="00574211" w:rsidP="00574211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termómetro del mercado</w:t>
      </w:r>
    </w:p>
    <w:p w14:paraId="59764847" w14:textId="0E5808B1" w:rsidR="00574211" w:rsidRPr="00574211" w:rsidRDefault="005A09C6" w:rsidP="0057421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Por último, </w:t>
      </w:r>
      <w:r w:rsidRPr="005A09C6">
        <w:rPr>
          <w:rFonts w:eastAsia="Times New Roman" w:cstheme="minorHAnsi"/>
          <w:b/>
          <w:sz w:val="24"/>
          <w:szCs w:val="24"/>
          <w:lang w:eastAsia="es-AR"/>
        </w:rPr>
        <w:t>Ferrari</w:t>
      </w:r>
      <w:r>
        <w:rPr>
          <w:rFonts w:eastAsia="Times New Roman" w:cstheme="minorHAnsi"/>
          <w:sz w:val="24"/>
          <w:szCs w:val="24"/>
          <w:lang w:eastAsia="es-AR"/>
        </w:rPr>
        <w:t>, afirmó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 que </w:t>
      </w:r>
      <w:r w:rsidR="00574211" w:rsidRPr="00911D07">
        <w:rPr>
          <w:rFonts w:eastAsia="Times New Roman" w:cstheme="minorHAnsi"/>
          <w:b/>
          <w:sz w:val="24"/>
          <w:szCs w:val="24"/>
          <w:lang w:eastAsia="es-AR"/>
        </w:rPr>
        <w:t>Expoagro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 se ha consolidado como un termómetro clave para la maquinaria agrícola en Argentina y la región</w:t>
      </w:r>
      <w:r w:rsidR="00574211" w:rsidRPr="005A09C6">
        <w:rPr>
          <w:rFonts w:eastAsia="Times New Roman" w:cstheme="minorHAnsi"/>
          <w:i/>
          <w:sz w:val="24"/>
          <w:szCs w:val="24"/>
          <w:lang w:eastAsia="es-AR"/>
        </w:rPr>
        <w:t>. “</w:t>
      </w:r>
      <w:r w:rsidR="0077236B">
        <w:rPr>
          <w:rFonts w:eastAsia="Times New Roman" w:cstheme="minorHAnsi"/>
          <w:i/>
          <w:sz w:val="24"/>
          <w:szCs w:val="24"/>
          <w:lang w:eastAsia="es-AR"/>
        </w:rPr>
        <w:t>Muestra las innovaciones más recientes y actúa como motor</w:t>
      </w:r>
      <w:r w:rsidR="00574211" w:rsidRPr="005A09C6">
        <w:rPr>
          <w:rFonts w:eastAsia="Times New Roman" w:cstheme="minorHAnsi"/>
          <w:i/>
          <w:sz w:val="24"/>
          <w:szCs w:val="24"/>
          <w:lang w:eastAsia="es-AR"/>
        </w:rPr>
        <w:t xml:space="preserve"> de negocios, conectando a fabricantes, distribuidores y p</w:t>
      </w:r>
      <w:r>
        <w:rPr>
          <w:rFonts w:eastAsia="Times New Roman" w:cstheme="minorHAnsi"/>
          <w:i/>
          <w:sz w:val="24"/>
          <w:szCs w:val="24"/>
          <w:lang w:eastAsia="es-AR"/>
        </w:rPr>
        <w:t>roductores en un mismo espacio”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>. Esta conexión es fundamental en un sector que necesita estar a la vanguardia para enfrentar l</w:t>
      </w:r>
      <w:r w:rsidR="00911D07">
        <w:rPr>
          <w:rFonts w:eastAsia="Times New Roman" w:cstheme="minorHAnsi"/>
          <w:sz w:val="24"/>
          <w:szCs w:val="24"/>
          <w:lang w:eastAsia="es-AR"/>
        </w:rPr>
        <w:t>os retos actuales. Ferrari añadió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 que aproximadamente el 60% de los productores y con</w:t>
      </w:r>
      <w:r w:rsidR="00911D07">
        <w:rPr>
          <w:rFonts w:eastAsia="Times New Roman" w:cstheme="minorHAnsi"/>
          <w:sz w:val="24"/>
          <w:szCs w:val="24"/>
          <w:lang w:eastAsia="es-AR"/>
        </w:rPr>
        <w:t xml:space="preserve">tratistas que asisten a la </w:t>
      </w:r>
      <w:proofErr w:type="spellStart"/>
      <w:r w:rsidR="00911D07">
        <w:rPr>
          <w:rFonts w:eastAsia="Times New Roman" w:cstheme="minorHAnsi"/>
          <w:sz w:val="24"/>
          <w:szCs w:val="24"/>
          <w:lang w:eastAsia="es-AR"/>
        </w:rPr>
        <w:t>megamuestra</w:t>
      </w:r>
      <w:proofErr w:type="spellEnd"/>
      <w:r w:rsidR="00911D07">
        <w:rPr>
          <w:rFonts w:eastAsia="Times New Roman" w:cstheme="minorHAnsi"/>
          <w:sz w:val="24"/>
          <w:szCs w:val="24"/>
          <w:lang w:eastAsia="es-AR"/>
        </w:rPr>
        <w:t xml:space="preserve">, que se realizará del 11 al 14 de marzo en el predio ferial y Autódromo de San </w:t>
      </w:r>
      <w:r w:rsidR="007F1FFF">
        <w:rPr>
          <w:rFonts w:eastAsia="Times New Roman" w:cstheme="minorHAnsi"/>
          <w:sz w:val="24"/>
          <w:szCs w:val="24"/>
          <w:lang w:eastAsia="es-AR"/>
        </w:rPr>
        <w:t xml:space="preserve">Nicolás, </w:t>
      </w:r>
      <w:r w:rsidR="007F1FFF" w:rsidRPr="00574211">
        <w:rPr>
          <w:rFonts w:eastAsia="Times New Roman" w:cstheme="minorHAnsi"/>
          <w:sz w:val="24"/>
          <w:szCs w:val="24"/>
          <w:lang w:eastAsia="es-AR"/>
        </w:rPr>
        <w:t>toman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 decisiones de inversión basadas en lo que observan allí, lo que resalta la importancia de la exposición en el proceso de modernización agrícola.</w:t>
      </w:r>
    </w:p>
    <w:p w14:paraId="29BFB2F9" w14:textId="7D8F8DA5" w:rsidR="00574211" w:rsidRPr="00574211" w:rsidRDefault="007F1FFF" w:rsidP="0057421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F1FFF">
        <w:rPr>
          <w:rFonts w:eastAsia="Times New Roman" w:cstheme="minorHAnsi"/>
          <w:sz w:val="24"/>
          <w:szCs w:val="24"/>
          <w:lang w:eastAsia="es-AR"/>
        </w:rPr>
        <w:t>Además,</w:t>
      </w:r>
      <w:r>
        <w:rPr>
          <w:rFonts w:eastAsia="Times New Roman" w:cstheme="minorHAnsi"/>
          <w:b/>
          <w:sz w:val="24"/>
          <w:szCs w:val="24"/>
          <w:lang w:eastAsia="es-AR"/>
        </w:rPr>
        <w:t xml:space="preserve"> </w:t>
      </w:r>
      <w:r w:rsidR="00574211" w:rsidRPr="00911D07">
        <w:rPr>
          <w:rFonts w:eastAsia="Times New Roman" w:cstheme="minorHAnsi"/>
          <w:b/>
          <w:sz w:val="24"/>
          <w:szCs w:val="24"/>
          <w:lang w:eastAsia="es-AR"/>
        </w:rPr>
        <w:t>Andrea Fiadone, jefa de Contenidos de Exponenciar,</w:t>
      </w:r>
      <w:r w:rsidR="00911D07">
        <w:rPr>
          <w:rFonts w:eastAsia="Times New Roman" w:cstheme="minorHAnsi"/>
          <w:b/>
          <w:sz w:val="24"/>
          <w:szCs w:val="24"/>
          <w:lang w:eastAsia="es-AR"/>
        </w:rPr>
        <w:t xml:space="preserve"> </w:t>
      </w:r>
      <w:r w:rsidR="00911D07">
        <w:rPr>
          <w:rFonts w:eastAsia="Times New Roman" w:cstheme="minorHAnsi"/>
          <w:sz w:val="24"/>
          <w:szCs w:val="24"/>
          <w:lang w:eastAsia="es-AR"/>
        </w:rPr>
        <w:t xml:space="preserve">empresa organizadora de </w:t>
      </w:r>
      <w:r w:rsidR="00911D07" w:rsidRPr="00911D07">
        <w:rPr>
          <w:rFonts w:eastAsia="Times New Roman" w:cstheme="minorHAnsi"/>
          <w:b/>
          <w:sz w:val="24"/>
          <w:szCs w:val="24"/>
          <w:lang w:eastAsia="es-AR"/>
        </w:rPr>
        <w:t>Expoagro</w:t>
      </w:r>
      <w:r w:rsidR="00911D07">
        <w:rPr>
          <w:rFonts w:eastAsia="Times New Roman" w:cstheme="minorHAnsi"/>
          <w:sz w:val="24"/>
          <w:szCs w:val="24"/>
          <w:lang w:eastAsia="es-AR"/>
        </w:rPr>
        <w:t>, también subrayó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 la relevancia de la ma</w:t>
      </w:r>
      <w:r w:rsidR="00911D07">
        <w:rPr>
          <w:rFonts w:eastAsia="Times New Roman" w:cstheme="minorHAnsi"/>
          <w:sz w:val="24"/>
          <w:szCs w:val="24"/>
          <w:lang w:eastAsia="es-AR"/>
        </w:rPr>
        <w:t xml:space="preserve">quinaria agrícola en </w:t>
      </w:r>
      <w:r w:rsidR="00D2678C">
        <w:rPr>
          <w:rFonts w:eastAsia="Times New Roman" w:cstheme="minorHAnsi"/>
          <w:sz w:val="24"/>
          <w:szCs w:val="24"/>
          <w:lang w:eastAsia="es-AR"/>
        </w:rPr>
        <w:t xml:space="preserve">la </w:t>
      </w:r>
      <w:r w:rsidR="00D2678C" w:rsidRPr="007F1FFF">
        <w:rPr>
          <w:rFonts w:eastAsia="Times New Roman" w:cstheme="minorHAnsi"/>
          <w:sz w:val="24"/>
          <w:szCs w:val="24"/>
          <w:lang w:eastAsia="es-AR"/>
        </w:rPr>
        <w:t>muestra agroindustrial a cielo abierto más</w:t>
      </w:r>
      <w:r w:rsidR="00D2678C">
        <w:rPr>
          <w:rFonts w:eastAsia="Times New Roman" w:cstheme="minorHAnsi"/>
          <w:sz w:val="24"/>
          <w:szCs w:val="24"/>
          <w:lang w:eastAsia="es-AR"/>
        </w:rPr>
        <w:t xml:space="preserve"> grande la región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. </w:t>
      </w:r>
      <w:r w:rsidR="00574211" w:rsidRPr="00911D07">
        <w:rPr>
          <w:rFonts w:eastAsia="Times New Roman" w:cstheme="minorHAnsi"/>
          <w:i/>
          <w:sz w:val="24"/>
          <w:szCs w:val="24"/>
          <w:lang w:eastAsia="es-AR"/>
        </w:rPr>
        <w:t xml:space="preserve">“La maquinaria agrícola es central para Expoagro. En la próxima edición creemos que el </w:t>
      </w:r>
      <w:proofErr w:type="spellStart"/>
      <w:r w:rsidR="00574211" w:rsidRPr="00911D07">
        <w:rPr>
          <w:rFonts w:eastAsia="Times New Roman" w:cstheme="minorHAnsi"/>
          <w:i/>
          <w:sz w:val="24"/>
          <w:szCs w:val="24"/>
          <w:lang w:eastAsia="es-AR"/>
        </w:rPr>
        <w:t>Tecnódromo</w:t>
      </w:r>
      <w:proofErr w:type="spellEnd"/>
      <w:r w:rsidR="00574211" w:rsidRPr="00911D07">
        <w:rPr>
          <w:rFonts w:eastAsia="Times New Roman" w:cstheme="minorHAnsi"/>
          <w:i/>
          <w:sz w:val="24"/>
          <w:szCs w:val="24"/>
          <w:lang w:eastAsia="es-AR"/>
        </w:rPr>
        <w:t xml:space="preserve"> será el epicentro donde podemos compartir las principales tendencias en Argentina. Nuestro lema para 2025 es: ‘Inteligencia y Tecnología para Alimentar al Mundo’”</w:t>
      </w:r>
      <w:r w:rsidR="00911D07">
        <w:rPr>
          <w:rFonts w:eastAsia="Times New Roman" w:cstheme="minorHAnsi"/>
          <w:sz w:val="24"/>
          <w:szCs w:val="24"/>
          <w:lang w:eastAsia="es-AR"/>
        </w:rPr>
        <w:t>, aseguró. Fiadone también enfatizó</w:t>
      </w:r>
      <w:r w:rsidR="00574211" w:rsidRPr="00574211">
        <w:rPr>
          <w:rFonts w:eastAsia="Times New Roman" w:cstheme="minorHAnsi"/>
          <w:sz w:val="24"/>
          <w:szCs w:val="24"/>
          <w:lang w:eastAsia="es-AR"/>
        </w:rPr>
        <w:t xml:space="preserve"> que la inteligencia artificial y la robótica están transformando el panorama agrícola, permitiendo producir más granos en la misma superficie y adaptarse a los efectos del cambio climático, todo mientras se optimizan los recursos.</w:t>
      </w:r>
    </w:p>
    <w:p w14:paraId="3A41B281" w14:textId="01B85471" w:rsidR="00574211" w:rsidRDefault="00574211" w:rsidP="0025779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574211">
        <w:rPr>
          <w:rFonts w:eastAsia="Times New Roman" w:cstheme="minorHAnsi"/>
          <w:sz w:val="24"/>
          <w:szCs w:val="24"/>
          <w:lang w:eastAsia="es-AR"/>
        </w:rPr>
        <w:t xml:space="preserve">Argentina se encuentra entre los tres países con mayor predisposición a la adopción de tecnología en agricultura de precisión, solo detrás de Alemania y Estados Unidos. Esto sugiere que hay un público adecuado y un contexto propicio para avanzar en el eje temático propuesto en </w:t>
      </w:r>
      <w:r w:rsidR="0065457C" w:rsidRPr="007F1FFF">
        <w:rPr>
          <w:rFonts w:eastAsia="Times New Roman" w:cstheme="minorHAnsi"/>
          <w:sz w:val="24"/>
          <w:szCs w:val="24"/>
          <w:lang w:eastAsia="es-AR"/>
        </w:rPr>
        <w:t xml:space="preserve">el </w:t>
      </w:r>
      <w:proofErr w:type="spellStart"/>
      <w:r w:rsidR="00D2678C" w:rsidRPr="007F1FFF">
        <w:rPr>
          <w:rFonts w:eastAsia="Times New Roman" w:cstheme="minorHAnsi"/>
          <w:b/>
          <w:sz w:val="24"/>
          <w:szCs w:val="24"/>
          <w:lang w:eastAsia="es-AR"/>
        </w:rPr>
        <w:t>Tecnódromo</w:t>
      </w:r>
      <w:proofErr w:type="spellEnd"/>
      <w:r w:rsidR="0065457C" w:rsidRPr="007F1FFF">
        <w:rPr>
          <w:rFonts w:eastAsia="Times New Roman" w:cstheme="minorHAnsi"/>
          <w:b/>
          <w:sz w:val="24"/>
          <w:szCs w:val="24"/>
          <w:lang w:eastAsia="es-AR"/>
        </w:rPr>
        <w:t xml:space="preserve"> </w:t>
      </w:r>
      <w:r w:rsidR="00D2678C" w:rsidRPr="007F1FFF">
        <w:rPr>
          <w:rFonts w:eastAsia="Times New Roman" w:cstheme="minorHAnsi"/>
          <w:b/>
          <w:sz w:val="24"/>
          <w:szCs w:val="24"/>
          <w:lang w:eastAsia="es-AR"/>
        </w:rPr>
        <w:t xml:space="preserve">Mario </w:t>
      </w:r>
      <w:proofErr w:type="spellStart"/>
      <w:r w:rsidR="00D2678C" w:rsidRPr="007F1FFF">
        <w:rPr>
          <w:rFonts w:eastAsia="Times New Roman" w:cstheme="minorHAnsi"/>
          <w:b/>
          <w:sz w:val="24"/>
          <w:szCs w:val="24"/>
          <w:lang w:eastAsia="es-AR"/>
        </w:rPr>
        <w:t>Bragachini</w:t>
      </w:r>
      <w:proofErr w:type="spellEnd"/>
      <w:r w:rsidR="00D2678C">
        <w:rPr>
          <w:rFonts w:eastAsia="Times New Roman" w:cstheme="minorHAnsi"/>
          <w:b/>
          <w:sz w:val="24"/>
          <w:szCs w:val="24"/>
          <w:lang w:eastAsia="es-AR"/>
        </w:rPr>
        <w:t xml:space="preserve"> </w:t>
      </w:r>
      <w:r w:rsidRPr="00574211">
        <w:rPr>
          <w:rFonts w:eastAsia="Times New Roman" w:cstheme="minorHAnsi"/>
          <w:sz w:val="24"/>
          <w:szCs w:val="24"/>
          <w:lang w:eastAsia="es-AR"/>
        </w:rPr>
        <w:t>donde la innovación y la sostenibilidad son esenciales para el futuro del sector.</w:t>
      </w:r>
    </w:p>
    <w:p w14:paraId="2A18F4F3" w14:textId="22479B4E" w:rsidR="00E937F9" w:rsidRDefault="00830873" w:rsidP="00801C28">
      <w:pPr>
        <w:jc w:val="both"/>
        <w:rPr>
          <w:sz w:val="24"/>
          <w:szCs w:val="24"/>
        </w:rPr>
      </w:pPr>
      <w:r w:rsidRPr="00830873">
        <w:rPr>
          <w:sz w:val="24"/>
          <w:szCs w:val="24"/>
        </w:rPr>
        <w:t>De esta forma,</w:t>
      </w:r>
      <w:r>
        <w:rPr>
          <w:b/>
          <w:sz w:val="24"/>
          <w:szCs w:val="24"/>
        </w:rPr>
        <w:t xml:space="preserve"> </w:t>
      </w:r>
      <w:r w:rsidR="004908A9" w:rsidRPr="00801C28">
        <w:rPr>
          <w:b/>
          <w:sz w:val="24"/>
          <w:szCs w:val="24"/>
        </w:rPr>
        <w:t>John Dee</w:t>
      </w:r>
      <w:r>
        <w:rPr>
          <w:b/>
          <w:sz w:val="24"/>
          <w:szCs w:val="24"/>
        </w:rPr>
        <w:t>re,</w:t>
      </w:r>
      <w:r w:rsidR="004908A9" w:rsidRPr="00801C28">
        <w:rPr>
          <w:b/>
          <w:sz w:val="24"/>
          <w:szCs w:val="24"/>
        </w:rPr>
        <w:t xml:space="preserve"> Abelardo </w:t>
      </w:r>
      <w:proofErr w:type="spellStart"/>
      <w:r w:rsidR="004908A9" w:rsidRPr="00801C28">
        <w:rPr>
          <w:b/>
          <w:sz w:val="24"/>
          <w:szCs w:val="24"/>
        </w:rPr>
        <w:t>Cuffia</w:t>
      </w:r>
      <w:proofErr w:type="spellEnd"/>
      <w:r w:rsidR="004908A9" w:rsidRPr="00801C28">
        <w:rPr>
          <w:b/>
          <w:sz w:val="24"/>
          <w:szCs w:val="24"/>
        </w:rPr>
        <w:t xml:space="preserve">, Akron, Apache, </w:t>
      </w:r>
      <w:proofErr w:type="spellStart"/>
      <w:r w:rsidR="004908A9" w:rsidRPr="00801C28">
        <w:rPr>
          <w:b/>
          <w:sz w:val="24"/>
          <w:szCs w:val="24"/>
        </w:rPr>
        <w:t>Cestari</w:t>
      </w:r>
      <w:proofErr w:type="spellEnd"/>
      <w:r w:rsidR="004908A9" w:rsidRPr="00801C28">
        <w:rPr>
          <w:b/>
          <w:sz w:val="24"/>
          <w:szCs w:val="24"/>
        </w:rPr>
        <w:t xml:space="preserve">, </w:t>
      </w:r>
      <w:proofErr w:type="spellStart"/>
      <w:r w:rsidR="004908A9" w:rsidRPr="00801C28">
        <w:rPr>
          <w:b/>
          <w:sz w:val="24"/>
          <w:szCs w:val="24"/>
        </w:rPr>
        <w:t>Claas</w:t>
      </w:r>
      <w:proofErr w:type="spellEnd"/>
      <w:r w:rsidR="004908A9" w:rsidRPr="00801C28">
        <w:rPr>
          <w:b/>
          <w:sz w:val="24"/>
          <w:szCs w:val="24"/>
        </w:rPr>
        <w:t xml:space="preserve">, Jacto, </w:t>
      </w:r>
      <w:proofErr w:type="spellStart"/>
      <w:r w:rsidR="004908A9" w:rsidRPr="00801C28">
        <w:rPr>
          <w:b/>
          <w:sz w:val="24"/>
          <w:szCs w:val="24"/>
        </w:rPr>
        <w:t>Massey</w:t>
      </w:r>
      <w:proofErr w:type="spellEnd"/>
      <w:r w:rsidR="004908A9" w:rsidRPr="00801C28">
        <w:rPr>
          <w:b/>
          <w:sz w:val="24"/>
          <w:szCs w:val="24"/>
        </w:rPr>
        <w:t xml:space="preserve"> </w:t>
      </w:r>
      <w:proofErr w:type="spellStart"/>
      <w:r w:rsidR="004908A9" w:rsidRPr="00801C28">
        <w:rPr>
          <w:b/>
          <w:sz w:val="24"/>
          <w:szCs w:val="24"/>
        </w:rPr>
        <w:t>Ferguson</w:t>
      </w:r>
      <w:proofErr w:type="spellEnd"/>
      <w:r w:rsidR="004908A9" w:rsidRPr="00801C28">
        <w:rPr>
          <w:b/>
          <w:sz w:val="24"/>
          <w:szCs w:val="24"/>
        </w:rPr>
        <w:t xml:space="preserve">, </w:t>
      </w:r>
      <w:proofErr w:type="spellStart"/>
      <w:r w:rsidR="004908A9" w:rsidRPr="00801C28">
        <w:rPr>
          <w:b/>
          <w:sz w:val="24"/>
          <w:szCs w:val="24"/>
        </w:rPr>
        <w:t>Met</w:t>
      </w:r>
      <w:r w:rsidR="008B62A2">
        <w:rPr>
          <w:b/>
          <w:sz w:val="24"/>
          <w:szCs w:val="24"/>
        </w:rPr>
        <w:t>alfor</w:t>
      </w:r>
      <w:proofErr w:type="spellEnd"/>
      <w:r w:rsidR="008B62A2">
        <w:rPr>
          <w:b/>
          <w:sz w:val="24"/>
          <w:szCs w:val="24"/>
        </w:rPr>
        <w:t xml:space="preserve">, </w:t>
      </w:r>
      <w:proofErr w:type="spellStart"/>
      <w:r w:rsidR="008B62A2">
        <w:rPr>
          <w:b/>
          <w:sz w:val="24"/>
          <w:szCs w:val="24"/>
        </w:rPr>
        <w:t>Piersanti</w:t>
      </w:r>
      <w:proofErr w:type="spellEnd"/>
      <w:r w:rsidR="008B62A2">
        <w:rPr>
          <w:b/>
          <w:sz w:val="24"/>
          <w:szCs w:val="24"/>
        </w:rPr>
        <w:t xml:space="preserve">, </w:t>
      </w:r>
      <w:proofErr w:type="spellStart"/>
      <w:r w:rsidR="008B62A2">
        <w:rPr>
          <w:b/>
          <w:sz w:val="24"/>
          <w:szCs w:val="24"/>
        </w:rPr>
        <w:t>Valtra</w:t>
      </w:r>
      <w:proofErr w:type="spellEnd"/>
      <w:r w:rsidR="008B62A2">
        <w:rPr>
          <w:b/>
          <w:sz w:val="24"/>
          <w:szCs w:val="24"/>
        </w:rPr>
        <w:t xml:space="preserve"> y Yomel</w:t>
      </w:r>
      <w:r>
        <w:rPr>
          <w:sz w:val="24"/>
          <w:szCs w:val="24"/>
        </w:rPr>
        <w:t xml:space="preserve">, dicen presente representando a la maquinaria agrícola en </w:t>
      </w:r>
      <w:r w:rsidRPr="00830873">
        <w:rPr>
          <w:b/>
          <w:sz w:val="24"/>
          <w:szCs w:val="24"/>
        </w:rPr>
        <w:t>Expoagro 2025 Edición YPF Agro.</w:t>
      </w:r>
      <w:r w:rsidR="00801C28" w:rsidRPr="00801C28">
        <w:rPr>
          <w:sz w:val="24"/>
          <w:szCs w:val="24"/>
        </w:rPr>
        <w:t xml:space="preserve"> </w:t>
      </w:r>
    </w:p>
    <w:p w14:paraId="301DD4C1" w14:textId="5D1F3B47" w:rsidR="008B62A2" w:rsidRDefault="008B62A2" w:rsidP="0080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Todas estas empresas y muchas más relacionadas a los fierros y los equipos del agro, estarán en la gran vidriera de la </w:t>
      </w:r>
      <w:proofErr w:type="spellStart"/>
      <w:r>
        <w:rPr>
          <w:sz w:val="24"/>
          <w:szCs w:val="24"/>
        </w:rPr>
        <w:t>megamuestra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.  </w:t>
      </w:r>
    </w:p>
    <w:sectPr w:rsidR="008B62A2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8FDA" w14:textId="77777777" w:rsidR="001072F3" w:rsidRDefault="001072F3" w:rsidP="00E728E0">
      <w:pPr>
        <w:spacing w:after="0" w:line="240" w:lineRule="auto"/>
      </w:pPr>
      <w:r>
        <w:separator/>
      </w:r>
    </w:p>
  </w:endnote>
  <w:endnote w:type="continuationSeparator" w:id="0">
    <w:p w14:paraId="4E29659A" w14:textId="77777777" w:rsidR="001072F3" w:rsidRDefault="001072F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C27D" w14:textId="77777777" w:rsidR="001072F3" w:rsidRDefault="001072F3" w:rsidP="00E728E0">
      <w:pPr>
        <w:spacing w:after="0" w:line="240" w:lineRule="auto"/>
      </w:pPr>
      <w:r>
        <w:separator/>
      </w:r>
    </w:p>
  </w:footnote>
  <w:footnote w:type="continuationSeparator" w:id="0">
    <w:p w14:paraId="449A540D" w14:textId="77777777" w:rsidR="001072F3" w:rsidRDefault="001072F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5F2C"/>
    <w:rsid w:val="00074999"/>
    <w:rsid w:val="000A0C4F"/>
    <w:rsid w:val="000A124E"/>
    <w:rsid w:val="001072F3"/>
    <w:rsid w:val="00117812"/>
    <w:rsid w:val="00137BE5"/>
    <w:rsid w:val="00152D0C"/>
    <w:rsid w:val="001555BC"/>
    <w:rsid w:val="00193BAD"/>
    <w:rsid w:val="001C0C8A"/>
    <w:rsid w:val="002451CE"/>
    <w:rsid w:val="00254B32"/>
    <w:rsid w:val="00257792"/>
    <w:rsid w:val="002700E1"/>
    <w:rsid w:val="002757EB"/>
    <w:rsid w:val="00291228"/>
    <w:rsid w:val="002C66C2"/>
    <w:rsid w:val="002E3D87"/>
    <w:rsid w:val="002F7A61"/>
    <w:rsid w:val="00304E8C"/>
    <w:rsid w:val="003066A3"/>
    <w:rsid w:val="0033640E"/>
    <w:rsid w:val="003469FF"/>
    <w:rsid w:val="003876B6"/>
    <w:rsid w:val="003A4109"/>
    <w:rsid w:val="003A6AF5"/>
    <w:rsid w:val="003D2B83"/>
    <w:rsid w:val="0042338E"/>
    <w:rsid w:val="00437F88"/>
    <w:rsid w:val="004816EF"/>
    <w:rsid w:val="004908A9"/>
    <w:rsid w:val="0049125D"/>
    <w:rsid w:val="00522B2B"/>
    <w:rsid w:val="005424CF"/>
    <w:rsid w:val="0057083D"/>
    <w:rsid w:val="00574211"/>
    <w:rsid w:val="005A09C6"/>
    <w:rsid w:val="005E6651"/>
    <w:rsid w:val="00641EC9"/>
    <w:rsid w:val="0065457C"/>
    <w:rsid w:val="0065522B"/>
    <w:rsid w:val="00657CDE"/>
    <w:rsid w:val="00664830"/>
    <w:rsid w:val="0066697E"/>
    <w:rsid w:val="00671E14"/>
    <w:rsid w:val="00683943"/>
    <w:rsid w:val="00697E80"/>
    <w:rsid w:val="006B2CCA"/>
    <w:rsid w:val="006C59FA"/>
    <w:rsid w:val="006F5A1D"/>
    <w:rsid w:val="0072278C"/>
    <w:rsid w:val="00731A0B"/>
    <w:rsid w:val="00765E77"/>
    <w:rsid w:val="00766C38"/>
    <w:rsid w:val="0077236B"/>
    <w:rsid w:val="007816B2"/>
    <w:rsid w:val="00790E05"/>
    <w:rsid w:val="00794D9F"/>
    <w:rsid w:val="007B6865"/>
    <w:rsid w:val="007B74F9"/>
    <w:rsid w:val="007D5D21"/>
    <w:rsid w:val="007D71FA"/>
    <w:rsid w:val="007F1FFF"/>
    <w:rsid w:val="007F5EAC"/>
    <w:rsid w:val="00801C28"/>
    <w:rsid w:val="00830873"/>
    <w:rsid w:val="0085148C"/>
    <w:rsid w:val="0085263F"/>
    <w:rsid w:val="008629B8"/>
    <w:rsid w:val="00863B6C"/>
    <w:rsid w:val="00875EF9"/>
    <w:rsid w:val="008B62A2"/>
    <w:rsid w:val="008D7D65"/>
    <w:rsid w:val="008E0957"/>
    <w:rsid w:val="008F334C"/>
    <w:rsid w:val="00904174"/>
    <w:rsid w:val="00911D07"/>
    <w:rsid w:val="00963E1E"/>
    <w:rsid w:val="00997DED"/>
    <w:rsid w:val="009F1DDB"/>
    <w:rsid w:val="00A12761"/>
    <w:rsid w:val="00A14CED"/>
    <w:rsid w:val="00A55E66"/>
    <w:rsid w:val="00A650F7"/>
    <w:rsid w:val="00A65E2E"/>
    <w:rsid w:val="00A715CA"/>
    <w:rsid w:val="00A8538B"/>
    <w:rsid w:val="00B142D6"/>
    <w:rsid w:val="00B55A6A"/>
    <w:rsid w:val="00BC16AC"/>
    <w:rsid w:val="00BC275E"/>
    <w:rsid w:val="00BF616B"/>
    <w:rsid w:val="00D2678C"/>
    <w:rsid w:val="00E6190F"/>
    <w:rsid w:val="00E670A8"/>
    <w:rsid w:val="00E728E0"/>
    <w:rsid w:val="00E7315D"/>
    <w:rsid w:val="00E85DE1"/>
    <w:rsid w:val="00E937F9"/>
    <w:rsid w:val="00ED36B6"/>
    <w:rsid w:val="00EE74EB"/>
    <w:rsid w:val="00F13CCA"/>
    <w:rsid w:val="00F25FFB"/>
    <w:rsid w:val="00F26D92"/>
    <w:rsid w:val="00FA474A"/>
    <w:rsid w:val="00F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25D"/>
  </w:style>
  <w:style w:type="paragraph" w:styleId="Ttulo2">
    <w:name w:val="heading 2"/>
    <w:basedOn w:val="Normal"/>
    <w:link w:val="Ttulo2Car"/>
    <w:uiPriority w:val="9"/>
    <w:qFormat/>
    <w:rsid w:val="00722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2278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7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937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37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37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7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1DA95-370D-4739-BD1F-F82A22EC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B0044-3C48-4B06-BC40-4280111DB78D}">
  <ds:schemaRefs>
    <ds:schemaRef ds:uri="http://www.w3.org/XML/1998/namespace"/>
    <ds:schemaRef ds:uri="http://schemas.microsoft.com/office/2006/documentManagement/types"/>
    <ds:schemaRef ds:uri="8ea0c7a9-7812-4ab2-837e-97a9ce7f45b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24e3aec-322b-40d6-846f-3ce85be438e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880663-D149-45B7-AB08-E8CCA1CB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5</cp:revision>
  <dcterms:created xsi:type="dcterms:W3CDTF">2024-10-31T18:01:00Z</dcterms:created>
  <dcterms:modified xsi:type="dcterms:W3CDTF">2024-12-11T18:48:00Z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