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340A" w14:textId="7EFE6EB1" w:rsidR="00821740" w:rsidRDefault="00437851" w:rsidP="00437851">
      <w:pPr>
        <w:jc w:val="center"/>
        <w:rPr>
          <w:rFonts w:ascii="Calibri" w:hAnsi="Calibri" w:cs="Calibri"/>
          <w:b/>
          <w:bCs/>
          <w:color w:val="000000" w:themeColor="text1"/>
          <w:sz w:val="28"/>
          <w:szCs w:val="28"/>
        </w:rPr>
      </w:pPr>
      <w:r>
        <w:rPr>
          <w:rFonts w:ascii="Calibri" w:hAnsi="Calibri" w:cs="Calibri"/>
          <w:b/>
          <w:bCs/>
          <w:color w:val="000000" w:themeColor="text1"/>
          <w:sz w:val="28"/>
          <w:szCs w:val="28"/>
        </w:rPr>
        <w:t>El INTA selló 12 acuerdos en la expo</w:t>
      </w:r>
    </w:p>
    <w:p w14:paraId="28448E7D" w14:textId="26DE8398" w:rsidR="00D06F60" w:rsidRPr="007F3815" w:rsidRDefault="00D06F60" w:rsidP="00D06F60">
      <w:pPr>
        <w:jc w:val="center"/>
        <w:rPr>
          <w:rFonts w:ascii="Calibri" w:hAnsi="Calibri" w:cs="Calibri"/>
          <w:i/>
          <w:iCs/>
          <w:color w:val="000000" w:themeColor="text1"/>
          <w:sz w:val="24"/>
          <w:szCs w:val="24"/>
        </w:rPr>
      </w:pPr>
      <w:r w:rsidRPr="007F3815">
        <w:rPr>
          <w:rFonts w:ascii="Calibri" w:hAnsi="Calibri" w:cs="Calibri"/>
          <w:i/>
          <w:iCs/>
          <w:color w:val="000000" w:themeColor="text1"/>
          <w:sz w:val="24"/>
          <w:szCs w:val="24"/>
        </w:rPr>
        <w:t xml:space="preserve">El Instituto </w:t>
      </w:r>
      <w:r w:rsidRPr="007F3815">
        <w:rPr>
          <w:rFonts w:ascii="Calibri" w:hAnsi="Calibri" w:cs="Calibri"/>
          <w:i/>
          <w:iCs/>
          <w:color w:val="000000" w:themeColor="text1"/>
          <w:sz w:val="24"/>
          <w:szCs w:val="24"/>
        </w:rPr>
        <w:t>avanz</w:t>
      </w:r>
      <w:r w:rsidRPr="007F3815">
        <w:rPr>
          <w:rFonts w:ascii="Calibri" w:hAnsi="Calibri" w:cs="Calibri"/>
          <w:i/>
          <w:iCs/>
          <w:color w:val="000000" w:themeColor="text1"/>
          <w:sz w:val="24"/>
          <w:szCs w:val="24"/>
        </w:rPr>
        <w:t xml:space="preserve">ó </w:t>
      </w:r>
      <w:r w:rsidRPr="007F3815">
        <w:rPr>
          <w:rFonts w:ascii="Calibri" w:hAnsi="Calibri" w:cs="Calibri"/>
          <w:i/>
          <w:iCs/>
          <w:color w:val="000000" w:themeColor="text1"/>
          <w:sz w:val="24"/>
          <w:szCs w:val="24"/>
        </w:rPr>
        <w:t>en la consolidación de la articulación estratégica con la provincia de Corrientes y empresas líderes del sector. Expoagro fue una oportunidad para profundizar acuerdos vigentes y generar intercambios con actores clave</w:t>
      </w:r>
      <w:r w:rsidR="00D85C2D" w:rsidRPr="007F3815">
        <w:rPr>
          <w:rFonts w:ascii="Calibri" w:hAnsi="Calibri" w:cs="Calibri"/>
          <w:i/>
          <w:iCs/>
          <w:color w:val="000000" w:themeColor="text1"/>
          <w:sz w:val="24"/>
          <w:szCs w:val="24"/>
        </w:rPr>
        <w:t>.</w:t>
      </w:r>
    </w:p>
    <w:p w14:paraId="4E021AF4" w14:textId="77777777" w:rsidR="0034427C" w:rsidRPr="0034427C" w:rsidRDefault="0034427C" w:rsidP="0034427C">
      <w:pPr>
        <w:jc w:val="both"/>
        <w:rPr>
          <w:rFonts w:ascii="Calibri" w:hAnsi="Calibri" w:cs="Calibri"/>
          <w:color w:val="000000" w:themeColor="text1"/>
          <w:sz w:val="24"/>
          <w:szCs w:val="24"/>
        </w:rPr>
      </w:pPr>
      <w:r w:rsidRPr="0034427C">
        <w:rPr>
          <w:rFonts w:ascii="Calibri" w:hAnsi="Calibri" w:cs="Calibri"/>
          <w:color w:val="000000" w:themeColor="text1"/>
          <w:sz w:val="24"/>
          <w:szCs w:val="24"/>
        </w:rPr>
        <w:t xml:space="preserve">Desde hace 70 años, el INTA trabaja en el desarrollo y la transferencia de tecnologías para el sector agropecuario. Mediante la investigación y la innovación, promueve soluciones que mejoran la productividad, la sostenibilidad y la competitividad del campo. En este contexto, la vinculación tecnológica es fundamental, ya que permite articular el conocimiento generado en el ámbito científico con las necesidades del sector productivo. La firma de convenios y la articulación público-privada impulsa el desarrollo de nuevas tecnologías para potenciar la producción agrícola argentina. </w:t>
      </w:r>
    </w:p>
    <w:p w14:paraId="41D0DB35" w14:textId="77777777" w:rsidR="0034427C" w:rsidRPr="0034427C" w:rsidRDefault="0034427C" w:rsidP="0034427C">
      <w:pPr>
        <w:jc w:val="both"/>
        <w:rPr>
          <w:rFonts w:ascii="Calibri" w:hAnsi="Calibri" w:cs="Calibri"/>
          <w:color w:val="000000" w:themeColor="text1"/>
          <w:sz w:val="24"/>
          <w:szCs w:val="24"/>
        </w:rPr>
      </w:pPr>
    </w:p>
    <w:p w14:paraId="04764E8F" w14:textId="77777777" w:rsidR="0034427C" w:rsidRPr="0034427C" w:rsidRDefault="0034427C" w:rsidP="0034427C">
      <w:pPr>
        <w:jc w:val="both"/>
        <w:rPr>
          <w:rFonts w:ascii="Calibri" w:hAnsi="Calibri" w:cs="Calibri"/>
          <w:color w:val="000000" w:themeColor="text1"/>
          <w:sz w:val="24"/>
          <w:szCs w:val="24"/>
        </w:rPr>
      </w:pPr>
      <w:r w:rsidRPr="0034427C">
        <w:rPr>
          <w:rFonts w:ascii="Calibri" w:hAnsi="Calibri" w:cs="Calibri"/>
          <w:color w:val="000000" w:themeColor="text1"/>
          <w:sz w:val="24"/>
          <w:szCs w:val="24"/>
        </w:rPr>
        <w:t xml:space="preserve">Con el fin de dar continuidad a la colaboración, </w:t>
      </w:r>
      <w:r w:rsidRPr="0034427C">
        <w:rPr>
          <w:rFonts w:ascii="Calibri" w:hAnsi="Calibri" w:cs="Calibri"/>
          <w:b/>
          <w:bCs/>
          <w:color w:val="000000" w:themeColor="text1"/>
          <w:sz w:val="24"/>
          <w:szCs w:val="24"/>
        </w:rPr>
        <w:t>el INTA y la provincia de Corrientes renovaron el convenio marco cuya finalidad es promover actividades de investigación</w:t>
      </w:r>
      <w:r w:rsidRPr="0034427C">
        <w:rPr>
          <w:rFonts w:ascii="Calibri" w:hAnsi="Calibri" w:cs="Calibri"/>
          <w:color w:val="000000" w:themeColor="text1"/>
          <w:sz w:val="24"/>
          <w:szCs w:val="24"/>
        </w:rPr>
        <w:t xml:space="preserve"> científica y desarrollo tecnológico, capacitación y asistencia técnica, identificación y ejecución de proyectos de desarrollo. </w:t>
      </w:r>
    </w:p>
    <w:p w14:paraId="10D14E8F" w14:textId="77777777" w:rsidR="0034427C" w:rsidRPr="0034427C" w:rsidRDefault="0034427C" w:rsidP="0034427C">
      <w:pPr>
        <w:jc w:val="both"/>
        <w:rPr>
          <w:rFonts w:ascii="Calibri" w:hAnsi="Calibri" w:cs="Calibri"/>
          <w:color w:val="000000" w:themeColor="text1"/>
          <w:sz w:val="24"/>
          <w:szCs w:val="24"/>
        </w:rPr>
      </w:pPr>
      <w:r w:rsidRPr="0034427C">
        <w:rPr>
          <w:rFonts w:ascii="Calibri" w:hAnsi="Calibri" w:cs="Calibri"/>
          <w:color w:val="000000" w:themeColor="text1"/>
          <w:sz w:val="24"/>
          <w:szCs w:val="24"/>
        </w:rPr>
        <w:t>Gustavo Valdés, gobernador de la provincia de Corrientes, destacó la articulación con el INTA: “</w:t>
      </w:r>
      <w:r w:rsidRPr="0034427C">
        <w:rPr>
          <w:rFonts w:ascii="Calibri" w:hAnsi="Calibri" w:cs="Calibri"/>
          <w:b/>
          <w:bCs/>
          <w:color w:val="000000" w:themeColor="text1"/>
          <w:sz w:val="24"/>
          <w:szCs w:val="24"/>
        </w:rPr>
        <w:t>Contar con el apoyo del INTA es de vital importancia para el desarrollo productivo de la provincia</w:t>
      </w:r>
      <w:r w:rsidRPr="0034427C">
        <w:rPr>
          <w:rFonts w:ascii="Calibri" w:hAnsi="Calibri" w:cs="Calibri"/>
          <w:color w:val="000000" w:themeColor="text1"/>
          <w:sz w:val="24"/>
          <w:szCs w:val="24"/>
        </w:rPr>
        <w:t xml:space="preserve">. Nosotros tenemos mucho apoyo técnico del INTA, siempre que Corrientes necesita incorporar tecnología se apoya en el INTA y, por supuesto también, en el Ministerio de la Producción”.  </w:t>
      </w:r>
    </w:p>
    <w:p w14:paraId="2AF370A7" w14:textId="77777777" w:rsidR="0034427C" w:rsidRPr="0034427C" w:rsidRDefault="0034427C" w:rsidP="0034427C">
      <w:pPr>
        <w:jc w:val="both"/>
        <w:rPr>
          <w:rFonts w:ascii="Calibri" w:hAnsi="Calibri" w:cs="Calibri"/>
          <w:color w:val="000000" w:themeColor="text1"/>
          <w:sz w:val="24"/>
          <w:szCs w:val="24"/>
        </w:rPr>
      </w:pPr>
      <w:r w:rsidRPr="0034427C">
        <w:rPr>
          <w:rFonts w:ascii="Calibri" w:hAnsi="Calibri" w:cs="Calibri"/>
          <w:color w:val="000000" w:themeColor="text1"/>
          <w:sz w:val="24"/>
          <w:szCs w:val="24"/>
        </w:rPr>
        <w:t xml:space="preserve">Actualmente se llevan adelante trabajos de investigación y desarrollo con la provincia de Corrientes que abarcan ensayos en variedades de naranjas y mandarinas, producción y liberación de parasitoides de </w:t>
      </w:r>
      <w:proofErr w:type="spellStart"/>
      <w:r w:rsidRPr="0034427C">
        <w:rPr>
          <w:rFonts w:ascii="Calibri" w:hAnsi="Calibri" w:cs="Calibri"/>
          <w:color w:val="000000" w:themeColor="text1"/>
          <w:sz w:val="24"/>
          <w:szCs w:val="24"/>
        </w:rPr>
        <w:t>Tamarixia</w:t>
      </w:r>
      <w:proofErr w:type="spellEnd"/>
      <w:r w:rsidRPr="0034427C">
        <w:rPr>
          <w:rFonts w:ascii="Calibri" w:hAnsi="Calibri" w:cs="Calibri"/>
          <w:color w:val="000000" w:themeColor="text1"/>
          <w:sz w:val="24"/>
          <w:szCs w:val="24"/>
        </w:rPr>
        <w:t xml:space="preserve"> radiata en arbolado urbano. También, la vinculación abarca la promoción del uso de recursos vegetales nativos con potencial valor medicinal, cosmético, farmacéutico y alimento funcional, esto a través del desarrollo agronómico, producción y difusión de variedades.   </w:t>
      </w:r>
    </w:p>
    <w:p w14:paraId="485B343E" w14:textId="1A125B9C" w:rsidR="00D85C2D" w:rsidRDefault="0034427C" w:rsidP="0034427C">
      <w:pPr>
        <w:jc w:val="both"/>
        <w:rPr>
          <w:rFonts w:ascii="Calibri" w:hAnsi="Calibri" w:cs="Calibri"/>
          <w:color w:val="000000" w:themeColor="text1"/>
          <w:sz w:val="24"/>
          <w:szCs w:val="24"/>
        </w:rPr>
      </w:pPr>
      <w:r w:rsidRPr="0034427C">
        <w:rPr>
          <w:rFonts w:ascii="Calibri" w:hAnsi="Calibri" w:cs="Calibri"/>
          <w:color w:val="000000" w:themeColor="text1"/>
          <w:sz w:val="24"/>
          <w:szCs w:val="24"/>
        </w:rPr>
        <w:t>En esta misma línea, los aportes se orientan al mantenimiento y mejora de semilleros de Botón de Oro (</w:t>
      </w:r>
      <w:proofErr w:type="spellStart"/>
      <w:r w:rsidRPr="0034427C">
        <w:rPr>
          <w:rFonts w:ascii="Calibri" w:hAnsi="Calibri" w:cs="Calibri"/>
          <w:color w:val="000000" w:themeColor="text1"/>
          <w:sz w:val="24"/>
          <w:szCs w:val="24"/>
        </w:rPr>
        <w:t>Titonia</w:t>
      </w:r>
      <w:proofErr w:type="spellEnd"/>
      <w:r w:rsidRPr="0034427C">
        <w:rPr>
          <w:rFonts w:ascii="Calibri" w:hAnsi="Calibri" w:cs="Calibri"/>
          <w:color w:val="000000" w:themeColor="text1"/>
          <w:sz w:val="24"/>
          <w:szCs w:val="24"/>
        </w:rPr>
        <w:t xml:space="preserve"> </w:t>
      </w:r>
      <w:proofErr w:type="spellStart"/>
      <w:r w:rsidRPr="0034427C">
        <w:rPr>
          <w:rFonts w:ascii="Calibri" w:hAnsi="Calibri" w:cs="Calibri"/>
          <w:color w:val="000000" w:themeColor="text1"/>
          <w:sz w:val="24"/>
          <w:szCs w:val="24"/>
        </w:rPr>
        <w:t>diversifolia</w:t>
      </w:r>
      <w:proofErr w:type="spellEnd"/>
      <w:r w:rsidRPr="0034427C">
        <w:rPr>
          <w:rFonts w:ascii="Calibri" w:hAnsi="Calibri" w:cs="Calibri"/>
          <w:color w:val="000000" w:themeColor="text1"/>
          <w:sz w:val="24"/>
          <w:szCs w:val="24"/>
        </w:rPr>
        <w:t xml:space="preserve">), pasto elefante, pasto </w:t>
      </w:r>
      <w:proofErr w:type="spellStart"/>
      <w:r w:rsidRPr="0034427C">
        <w:rPr>
          <w:rFonts w:ascii="Calibri" w:hAnsi="Calibri" w:cs="Calibri"/>
          <w:color w:val="000000" w:themeColor="text1"/>
          <w:sz w:val="24"/>
          <w:szCs w:val="24"/>
        </w:rPr>
        <w:t>nilo</w:t>
      </w:r>
      <w:proofErr w:type="spellEnd"/>
      <w:r w:rsidRPr="0034427C">
        <w:rPr>
          <w:rFonts w:ascii="Calibri" w:hAnsi="Calibri" w:cs="Calibri"/>
          <w:color w:val="000000" w:themeColor="text1"/>
          <w:sz w:val="24"/>
          <w:szCs w:val="24"/>
        </w:rPr>
        <w:t xml:space="preserve"> y pasto </w:t>
      </w:r>
      <w:proofErr w:type="spellStart"/>
      <w:r w:rsidRPr="0034427C">
        <w:rPr>
          <w:rFonts w:ascii="Calibri" w:hAnsi="Calibri" w:cs="Calibri"/>
          <w:color w:val="000000" w:themeColor="text1"/>
          <w:sz w:val="24"/>
          <w:szCs w:val="24"/>
        </w:rPr>
        <w:t>tangola</w:t>
      </w:r>
      <w:proofErr w:type="spellEnd"/>
      <w:r w:rsidRPr="0034427C">
        <w:rPr>
          <w:rFonts w:ascii="Calibri" w:hAnsi="Calibri" w:cs="Calibri"/>
          <w:color w:val="000000" w:themeColor="text1"/>
          <w:sz w:val="24"/>
          <w:szCs w:val="24"/>
        </w:rPr>
        <w:t>; con el objetivo de aumentar así la superficie y volumen de producción de pasturas implantadas, a fin de promover el uso de forrajes de calidad. Entre otros convenios vigentes, se avanza con investigaciones donde se comparten conocimientos, metodologías y tecnologías aplicables al procesamiento y análisis de datos georreferenciados de la provincia.</w:t>
      </w:r>
    </w:p>
    <w:p w14:paraId="7B987D24" w14:textId="77777777"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b/>
          <w:bCs/>
          <w:color w:val="000000" w:themeColor="text1"/>
          <w:sz w:val="24"/>
          <w:szCs w:val="24"/>
        </w:rPr>
        <w:t>Avances en la articulación con empresas</w:t>
      </w:r>
      <w:r w:rsidRPr="00DE716B">
        <w:rPr>
          <w:rFonts w:ascii="Calibri" w:hAnsi="Calibri" w:cs="Calibri"/>
          <w:color w:val="000000" w:themeColor="text1"/>
          <w:sz w:val="24"/>
          <w:szCs w:val="24"/>
        </w:rPr>
        <w:t> </w:t>
      </w:r>
    </w:p>
    <w:p w14:paraId="2405BBA0" w14:textId="37D57586"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 xml:space="preserve">Con el objetivo de impulsar la innovación y la competitividad del sector </w:t>
      </w:r>
      <w:proofErr w:type="spellStart"/>
      <w:r w:rsidRPr="00DE716B">
        <w:rPr>
          <w:rFonts w:ascii="Calibri" w:hAnsi="Calibri" w:cs="Calibri"/>
          <w:color w:val="000000" w:themeColor="text1"/>
          <w:sz w:val="24"/>
          <w:szCs w:val="24"/>
        </w:rPr>
        <w:t>agrobioindustrial</w:t>
      </w:r>
      <w:proofErr w:type="spellEnd"/>
      <w:r w:rsidRPr="00DE716B">
        <w:rPr>
          <w:rFonts w:ascii="Calibri" w:hAnsi="Calibri" w:cs="Calibri"/>
          <w:color w:val="000000" w:themeColor="text1"/>
          <w:sz w:val="24"/>
          <w:szCs w:val="24"/>
        </w:rPr>
        <w:t>, con la </w:t>
      </w:r>
      <w:r w:rsidRPr="00DE716B">
        <w:rPr>
          <w:rFonts w:ascii="Calibri" w:hAnsi="Calibri" w:cs="Calibri"/>
          <w:b/>
          <w:bCs/>
          <w:color w:val="000000" w:themeColor="text1"/>
          <w:sz w:val="24"/>
          <w:szCs w:val="24"/>
        </w:rPr>
        <w:t xml:space="preserve">Cámara Argentina de Fabricantes de Maquinaria </w:t>
      </w:r>
      <w:r w:rsidRPr="00DE716B">
        <w:rPr>
          <w:rFonts w:ascii="Calibri" w:hAnsi="Calibri" w:cs="Calibri"/>
          <w:b/>
          <w:bCs/>
          <w:color w:val="000000" w:themeColor="text1"/>
          <w:sz w:val="24"/>
          <w:szCs w:val="24"/>
        </w:rPr>
        <w:lastRenderedPageBreak/>
        <w:t>Agrícola</w:t>
      </w:r>
      <w:r w:rsidRPr="00DE716B">
        <w:rPr>
          <w:rFonts w:ascii="Calibri" w:hAnsi="Calibri" w:cs="Calibri"/>
          <w:color w:val="000000" w:themeColor="text1"/>
          <w:sz w:val="24"/>
          <w:szCs w:val="24"/>
        </w:rPr>
        <w:t xml:space="preserve"> (CAFMA) se rubricó un convenio marco que busca fomentar la cooperación en investigación, asistencia técnica y difusión tecnológica, con especial énfasis en el desarrollo de maquinaria agrícola. </w:t>
      </w:r>
    </w:p>
    <w:p w14:paraId="0AFBB22F" w14:textId="130A5FA3"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A su vez, el INTA y la </w:t>
      </w:r>
      <w:r w:rsidRPr="00DE716B">
        <w:rPr>
          <w:rFonts w:ascii="Calibri" w:hAnsi="Calibri" w:cs="Calibri"/>
          <w:b/>
          <w:bCs/>
          <w:color w:val="000000" w:themeColor="text1"/>
          <w:sz w:val="24"/>
          <w:szCs w:val="24"/>
        </w:rPr>
        <w:t>Federación Argentina de Contratistas de Máquinas Agrícolas</w:t>
      </w:r>
      <w:r w:rsidRPr="00DE716B">
        <w:rPr>
          <w:rFonts w:ascii="Calibri" w:hAnsi="Calibri" w:cs="Calibri"/>
          <w:color w:val="000000" w:themeColor="text1"/>
          <w:sz w:val="24"/>
          <w:szCs w:val="24"/>
        </w:rPr>
        <w:t xml:space="preserve"> (FACMA) también firmaron un convenio para fortalecer la cooperación técnica en el sector agroindustrial. Dentro del acuerdo, se establecen diversas actividades, como el intercambio de información, la capacitación de personal, el análisis de costos operativos y la actualización de necesidades tecnológicas. </w:t>
      </w:r>
    </w:p>
    <w:p w14:paraId="74EF6C5E" w14:textId="77777777"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En tanto, a partir de un convenio por transferencia de tecnología con la empresa </w:t>
      </w:r>
      <w:proofErr w:type="spellStart"/>
      <w:r w:rsidRPr="00DE716B">
        <w:rPr>
          <w:rFonts w:ascii="Calibri" w:hAnsi="Calibri" w:cs="Calibri"/>
          <w:b/>
          <w:bCs/>
          <w:color w:val="000000" w:themeColor="text1"/>
          <w:sz w:val="24"/>
          <w:szCs w:val="24"/>
        </w:rPr>
        <w:t>Produsem</w:t>
      </w:r>
      <w:proofErr w:type="spellEnd"/>
      <w:r w:rsidRPr="00DE716B">
        <w:rPr>
          <w:rFonts w:ascii="Calibri" w:hAnsi="Calibri" w:cs="Calibri"/>
          <w:b/>
          <w:bCs/>
          <w:color w:val="000000" w:themeColor="text1"/>
          <w:sz w:val="24"/>
          <w:szCs w:val="24"/>
        </w:rPr>
        <w:t>,</w:t>
      </w:r>
      <w:r w:rsidRPr="00DE716B">
        <w:rPr>
          <w:rFonts w:ascii="Calibri" w:hAnsi="Calibri" w:cs="Calibri"/>
          <w:color w:val="000000" w:themeColor="text1"/>
          <w:sz w:val="24"/>
          <w:szCs w:val="24"/>
        </w:rPr>
        <w:t> se trabajará en la producción, difusión y comercialización de las semillas de la variedad de Raigrás de nombre “ÑERI INTA”, de propiedad del INTA e inscripta en los Registros del INASE. </w:t>
      </w:r>
    </w:p>
    <w:p w14:paraId="201D544D" w14:textId="21D26A3B"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Además,</w:t>
      </w:r>
      <w:r w:rsidRPr="00DE716B">
        <w:rPr>
          <w:rFonts w:ascii="Calibri" w:hAnsi="Calibri" w:cs="Calibri"/>
          <w:b/>
          <w:bCs/>
          <w:color w:val="000000" w:themeColor="text1"/>
          <w:sz w:val="24"/>
          <w:szCs w:val="24"/>
        </w:rPr>
        <w:t> </w:t>
      </w:r>
      <w:proofErr w:type="spellStart"/>
      <w:r w:rsidRPr="00DE716B">
        <w:rPr>
          <w:rFonts w:ascii="Calibri" w:hAnsi="Calibri" w:cs="Calibri"/>
          <w:b/>
          <w:bCs/>
          <w:color w:val="000000" w:themeColor="text1"/>
          <w:sz w:val="24"/>
          <w:szCs w:val="24"/>
        </w:rPr>
        <w:t>Produsem</w:t>
      </w:r>
      <w:proofErr w:type="spellEnd"/>
      <w:r w:rsidRPr="00DE716B">
        <w:rPr>
          <w:rFonts w:ascii="Calibri" w:hAnsi="Calibri" w:cs="Calibri"/>
          <w:color w:val="000000" w:themeColor="text1"/>
          <w:sz w:val="24"/>
          <w:szCs w:val="24"/>
        </w:rPr>
        <w:t xml:space="preserve"> y la Estación Experimental Agropecuaria del INTA Manfredi -Córdoba-, llevarán adelante de manera conjunto acciones para la obtención, multiplicación y comercialización de variedades de sorgo. </w:t>
      </w:r>
    </w:p>
    <w:p w14:paraId="2037D515" w14:textId="77777777"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Otro acuerdo firmado involucra a la empresa </w:t>
      </w:r>
      <w:r w:rsidRPr="00DE716B">
        <w:rPr>
          <w:rFonts w:ascii="Calibri" w:hAnsi="Calibri" w:cs="Calibri"/>
          <w:b/>
          <w:bCs/>
          <w:color w:val="000000" w:themeColor="text1"/>
          <w:sz w:val="24"/>
          <w:szCs w:val="24"/>
        </w:rPr>
        <w:t>Santa Magdalena </w:t>
      </w:r>
      <w:r w:rsidRPr="00DE716B">
        <w:rPr>
          <w:rFonts w:ascii="Calibri" w:hAnsi="Calibri" w:cs="Calibri"/>
          <w:color w:val="000000" w:themeColor="text1"/>
          <w:sz w:val="24"/>
          <w:szCs w:val="24"/>
        </w:rPr>
        <w:t>junto al Instituto de Investigación Animal del Chaco Semi Árido (IIACS) en el trabajo de evaluación de genotipos avanzados de poroto negro de ciclo corto. El IIACS desarrollará y evaluará nueva genética de poroto de ciclo corto y tolerante a altas temperaturas, en distintos tipos comerciales y liberará nuevos cultivares para posibles licenciamientos. </w:t>
      </w:r>
    </w:p>
    <w:p w14:paraId="18F64892" w14:textId="77777777"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El INTA, a través del Laboratorio de Transformación de los Residuos (LTR) del Instituto de Microbiología y Zoología Agrícola (IMYZA) del INTA, acordó prestar asistencia técnica junto a la empresa </w:t>
      </w:r>
      <w:r w:rsidRPr="00DE716B">
        <w:rPr>
          <w:rFonts w:ascii="Calibri" w:hAnsi="Calibri" w:cs="Calibri"/>
          <w:b/>
          <w:bCs/>
          <w:color w:val="000000" w:themeColor="text1"/>
          <w:sz w:val="24"/>
          <w:szCs w:val="24"/>
        </w:rPr>
        <w:t>AVIBER</w:t>
      </w:r>
      <w:r w:rsidRPr="00DE716B">
        <w:rPr>
          <w:rFonts w:ascii="Calibri" w:hAnsi="Calibri" w:cs="Calibri"/>
          <w:color w:val="000000" w:themeColor="text1"/>
          <w:sz w:val="24"/>
          <w:szCs w:val="24"/>
        </w:rPr>
        <w:t> en el asesoramiento para la instalación de planta de compostaje, el monitoreo de la calidad del compost y evaluación de los posibles lixiviados del tratamiento aeróbico a través de humedales artificiales, generados por la empresa, localizada en el Partido de Suipacha –provincia de Buenos Aires-. </w:t>
      </w:r>
    </w:p>
    <w:p w14:paraId="3B4AB685" w14:textId="77777777" w:rsidR="00DE716B" w:rsidRPr="00DE716B" w:rsidRDefault="00DE716B" w:rsidP="00DE716B">
      <w:pPr>
        <w:jc w:val="both"/>
        <w:rPr>
          <w:rFonts w:ascii="Calibri" w:hAnsi="Calibri" w:cs="Calibri"/>
          <w:color w:val="000000" w:themeColor="text1"/>
          <w:sz w:val="24"/>
          <w:szCs w:val="24"/>
        </w:rPr>
      </w:pPr>
      <w:r w:rsidRPr="00DE716B">
        <w:rPr>
          <w:rFonts w:ascii="Calibri" w:hAnsi="Calibri" w:cs="Calibri"/>
          <w:color w:val="000000" w:themeColor="text1"/>
          <w:sz w:val="24"/>
          <w:szCs w:val="24"/>
        </w:rPr>
        <w:t>Con el objetivo de continuar con acciones de colaboración, el INTA y </w:t>
      </w:r>
      <w:r w:rsidRPr="00DE716B">
        <w:rPr>
          <w:rFonts w:ascii="Calibri" w:hAnsi="Calibri" w:cs="Calibri"/>
          <w:b/>
          <w:bCs/>
          <w:color w:val="000000" w:themeColor="text1"/>
          <w:sz w:val="24"/>
          <w:szCs w:val="24"/>
        </w:rPr>
        <w:t xml:space="preserve">The </w:t>
      </w:r>
      <w:proofErr w:type="spellStart"/>
      <w:r w:rsidRPr="00DE716B">
        <w:rPr>
          <w:rFonts w:ascii="Calibri" w:hAnsi="Calibri" w:cs="Calibri"/>
          <w:b/>
          <w:bCs/>
          <w:color w:val="000000" w:themeColor="text1"/>
          <w:sz w:val="24"/>
          <w:szCs w:val="24"/>
        </w:rPr>
        <w:t>Nature</w:t>
      </w:r>
      <w:proofErr w:type="spellEnd"/>
      <w:r w:rsidRPr="00DE716B">
        <w:rPr>
          <w:rFonts w:ascii="Calibri" w:hAnsi="Calibri" w:cs="Calibri"/>
          <w:b/>
          <w:bCs/>
          <w:color w:val="000000" w:themeColor="text1"/>
          <w:sz w:val="24"/>
          <w:szCs w:val="24"/>
        </w:rPr>
        <w:t xml:space="preserve"> </w:t>
      </w:r>
      <w:proofErr w:type="spellStart"/>
      <w:r w:rsidRPr="00DE716B">
        <w:rPr>
          <w:rFonts w:ascii="Calibri" w:hAnsi="Calibri" w:cs="Calibri"/>
          <w:b/>
          <w:bCs/>
          <w:color w:val="000000" w:themeColor="text1"/>
          <w:sz w:val="24"/>
          <w:szCs w:val="24"/>
        </w:rPr>
        <w:t>Conservancy</w:t>
      </w:r>
      <w:proofErr w:type="spellEnd"/>
      <w:r w:rsidRPr="00DE716B">
        <w:rPr>
          <w:rFonts w:ascii="Calibri" w:hAnsi="Calibri" w:cs="Calibri"/>
          <w:b/>
          <w:bCs/>
          <w:color w:val="000000" w:themeColor="text1"/>
          <w:sz w:val="24"/>
          <w:szCs w:val="24"/>
        </w:rPr>
        <w:t xml:space="preserve"> (TNC)</w:t>
      </w:r>
      <w:r w:rsidRPr="00DE716B">
        <w:rPr>
          <w:rFonts w:ascii="Calibri" w:hAnsi="Calibri" w:cs="Calibri"/>
          <w:color w:val="000000" w:themeColor="text1"/>
          <w:sz w:val="24"/>
          <w:szCs w:val="24"/>
        </w:rPr>
        <w:t> acordaron desarrollar en forma conjunta proyectos de carácter científico y de extensión en materia de conservación de los sistemas naturales y productivos de las ecorregiones de la Patagonia y el Gran Chaco Americano, como así también la región de Cuyo y otras zonas del país.  </w:t>
      </w:r>
    </w:p>
    <w:p w14:paraId="3F3E3EA4"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b/>
          <w:bCs/>
          <w:color w:val="000000" w:themeColor="text1"/>
          <w:sz w:val="24"/>
          <w:szCs w:val="24"/>
        </w:rPr>
        <w:t>Acuerdos para mejorar la producción animal</w:t>
      </w:r>
      <w:r w:rsidRPr="00E437D3">
        <w:rPr>
          <w:rFonts w:ascii="Calibri" w:hAnsi="Calibri" w:cs="Calibri"/>
          <w:color w:val="000000" w:themeColor="text1"/>
          <w:sz w:val="24"/>
          <w:szCs w:val="24"/>
        </w:rPr>
        <w:t> </w:t>
      </w:r>
    </w:p>
    <w:p w14:paraId="51F5DEBC"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Desde el Programa de Carnes y Fibras Animales del INTA se impulsa la innovación en el sector ganadero mediante el desarrollo de conocimientos y tecnologías para aprovechar oportunidades con empresas. Durante Expoagro se firmaron cartas de intención para articular capacidades para el sector junto con </w:t>
      </w:r>
      <w:proofErr w:type="spellStart"/>
      <w:r w:rsidRPr="00E437D3">
        <w:rPr>
          <w:rFonts w:ascii="Calibri" w:hAnsi="Calibri" w:cs="Calibri"/>
          <w:b/>
          <w:bCs/>
          <w:color w:val="000000" w:themeColor="text1"/>
          <w:sz w:val="24"/>
          <w:szCs w:val="24"/>
        </w:rPr>
        <w:t>Zorion</w:t>
      </w:r>
      <w:proofErr w:type="spellEnd"/>
      <w:r w:rsidRPr="00E437D3">
        <w:rPr>
          <w:rFonts w:ascii="Calibri" w:hAnsi="Calibri" w:cs="Calibri"/>
          <w:b/>
          <w:bCs/>
          <w:color w:val="000000" w:themeColor="text1"/>
          <w:sz w:val="24"/>
          <w:szCs w:val="24"/>
        </w:rPr>
        <w:t xml:space="preserve"> Argentina SRL, EMTECH SRL, </w:t>
      </w:r>
      <w:proofErr w:type="spellStart"/>
      <w:r w:rsidRPr="00E437D3">
        <w:rPr>
          <w:rFonts w:ascii="Calibri" w:hAnsi="Calibri" w:cs="Calibri"/>
          <w:b/>
          <w:bCs/>
          <w:color w:val="000000" w:themeColor="text1"/>
          <w:sz w:val="24"/>
          <w:szCs w:val="24"/>
        </w:rPr>
        <w:t>Trinsights</w:t>
      </w:r>
      <w:proofErr w:type="spellEnd"/>
      <w:r w:rsidRPr="00E437D3">
        <w:rPr>
          <w:rFonts w:ascii="Calibri" w:hAnsi="Calibri" w:cs="Calibri"/>
          <w:b/>
          <w:bCs/>
          <w:color w:val="000000" w:themeColor="text1"/>
          <w:sz w:val="24"/>
          <w:szCs w:val="24"/>
        </w:rPr>
        <w:t xml:space="preserve"> SA, Balanzas Hook</w:t>
      </w:r>
      <w:r w:rsidRPr="00E437D3">
        <w:rPr>
          <w:rFonts w:ascii="Calibri" w:hAnsi="Calibri" w:cs="Calibri"/>
          <w:color w:val="000000" w:themeColor="text1"/>
          <w:sz w:val="24"/>
          <w:szCs w:val="24"/>
        </w:rPr>
        <w:t> y la </w:t>
      </w:r>
      <w:r w:rsidRPr="00E437D3">
        <w:rPr>
          <w:rFonts w:ascii="Calibri" w:hAnsi="Calibri" w:cs="Calibri"/>
          <w:b/>
          <w:bCs/>
          <w:color w:val="000000" w:themeColor="text1"/>
          <w:sz w:val="24"/>
          <w:szCs w:val="24"/>
        </w:rPr>
        <w:t>Cámara Argentina de Biotecnología de la Reproducción e Inseminación Artificial (CABIA).</w:t>
      </w:r>
      <w:r w:rsidRPr="00E437D3">
        <w:rPr>
          <w:rFonts w:ascii="Calibri" w:hAnsi="Calibri" w:cs="Calibri"/>
          <w:color w:val="000000" w:themeColor="text1"/>
          <w:sz w:val="24"/>
          <w:szCs w:val="24"/>
        </w:rPr>
        <w:t> </w:t>
      </w:r>
    </w:p>
    <w:p w14:paraId="606EC53C"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La empresa </w:t>
      </w:r>
      <w:proofErr w:type="spellStart"/>
      <w:r w:rsidRPr="00E437D3">
        <w:rPr>
          <w:rFonts w:ascii="Calibri" w:hAnsi="Calibri" w:cs="Calibri"/>
          <w:b/>
          <w:bCs/>
          <w:color w:val="000000" w:themeColor="text1"/>
          <w:sz w:val="24"/>
          <w:szCs w:val="24"/>
        </w:rPr>
        <w:t>Zorion</w:t>
      </w:r>
      <w:proofErr w:type="spellEnd"/>
      <w:r w:rsidRPr="00E437D3">
        <w:rPr>
          <w:rFonts w:ascii="Calibri" w:hAnsi="Calibri" w:cs="Calibri"/>
          <w:b/>
          <w:bCs/>
          <w:color w:val="000000" w:themeColor="text1"/>
          <w:sz w:val="24"/>
          <w:szCs w:val="24"/>
        </w:rPr>
        <w:t xml:space="preserve"> Argentina SRL</w:t>
      </w:r>
      <w:r w:rsidRPr="00E437D3">
        <w:rPr>
          <w:rFonts w:ascii="Calibri" w:hAnsi="Calibri" w:cs="Calibri"/>
          <w:color w:val="000000" w:themeColor="text1"/>
          <w:sz w:val="24"/>
          <w:szCs w:val="24"/>
        </w:rPr>
        <w:t>, dedicada al desarrollo y comercialización de productos para la nutrición animal, trabajará con el INTA en la evaluación del impacto de los aditivos sobre la eficiencia de conversión en la búsqueda de eliminar el período de acostumbramiento en </w:t>
      </w:r>
      <w:r w:rsidRPr="00E437D3">
        <w:rPr>
          <w:rFonts w:ascii="Calibri" w:hAnsi="Calibri" w:cs="Calibri"/>
          <w:i/>
          <w:iCs/>
          <w:color w:val="000000" w:themeColor="text1"/>
          <w:sz w:val="24"/>
          <w:szCs w:val="24"/>
        </w:rPr>
        <w:t xml:space="preserve">feed </w:t>
      </w:r>
      <w:proofErr w:type="spellStart"/>
      <w:r w:rsidRPr="00E437D3">
        <w:rPr>
          <w:rFonts w:ascii="Calibri" w:hAnsi="Calibri" w:cs="Calibri"/>
          <w:i/>
          <w:iCs/>
          <w:color w:val="000000" w:themeColor="text1"/>
          <w:sz w:val="24"/>
          <w:szCs w:val="24"/>
        </w:rPr>
        <w:t>lot</w:t>
      </w:r>
      <w:proofErr w:type="spellEnd"/>
      <w:r w:rsidRPr="00E437D3">
        <w:rPr>
          <w:rFonts w:ascii="Calibri" w:hAnsi="Calibri" w:cs="Calibri"/>
          <w:color w:val="000000" w:themeColor="text1"/>
          <w:sz w:val="24"/>
          <w:szCs w:val="24"/>
        </w:rPr>
        <w:t>.  </w:t>
      </w:r>
    </w:p>
    <w:p w14:paraId="14918111"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Asimismo, la </w:t>
      </w:r>
      <w:r w:rsidRPr="00E437D3">
        <w:rPr>
          <w:rFonts w:ascii="Calibri" w:hAnsi="Calibri" w:cs="Calibri"/>
          <w:b/>
          <w:bCs/>
          <w:color w:val="000000" w:themeColor="text1"/>
          <w:sz w:val="24"/>
          <w:szCs w:val="24"/>
        </w:rPr>
        <w:t>CABIA </w:t>
      </w:r>
      <w:r w:rsidRPr="00E437D3">
        <w:rPr>
          <w:rFonts w:ascii="Calibri" w:hAnsi="Calibri" w:cs="Calibri"/>
          <w:color w:val="000000" w:themeColor="text1"/>
          <w:sz w:val="24"/>
          <w:szCs w:val="24"/>
        </w:rPr>
        <w:t>que reúne a todas las empresas nacionales dedicadas al desarrollo de biotecnologías reproductivas y cuyo objetivo es difundir y fomentar el uso de estas tecnologías aplicadas a la reproducción animal, firmó una carta de intención con el INTA con el fin de evaluar aditivos.  </w:t>
      </w:r>
    </w:p>
    <w:p w14:paraId="2D111CBA"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Por otro lado, </w:t>
      </w:r>
      <w:r w:rsidRPr="00E437D3">
        <w:rPr>
          <w:rFonts w:ascii="Calibri" w:hAnsi="Calibri" w:cs="Calibri"/>
          <w:b/>
          <w:bCs/>
          <w:color w:val="000000" w:themeColor="text1"/>
          <w:sz w:val="24"/>
          <w:szCs w:val="24"/>
        </w:rPr>
        <w:t>EMTECH SRL –</w:t>
      </w:r>
      <w:r w:rsidRPr="00E437D3">
        <w:rPr>
          <w:rFonts w:ascii="Calibri" w:hAnsi="Calibri" w:cs="Calibri"/>
          <w:color w:val="000000" w:themeColor="text1"/>
          <w:sz w:val="24"/>
          <w:szCs w:val="24"/>
        </w:rPr>
        <w:t>empresa de base tecnológica- dedicada a promover avances en hardware y software embebido para dispositivos de ganadería de precisión, firmó con el INTA una carta de intención para el desarrollo dispositivos automáticos para el manejo ganadero como balanzas de pesada al paso y dosificadores automáticos de alimento.  </w:t>
      </w:r>
    </w:p>
    <w:p w14:paraId="0487E437"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En la misma línea, </w:t>
      </w:r>
      <w:proofErr w:type="spellStart"/>
      <w:r w:rsidRPr="00E437D3">
        <w:rPr>
          <w:rFonts w:ascii="Calibri" w:hAnsi="Calibri" w:cs="Calibri"/>
          <w:b/>
          <w:bCs/>
          <w:color w:val="000000" w:themeColor="text1"/>
          <w:sz w:val="24"/>
          <w:szCs w:val="24"/>
        </w:rPr>
        <w:t>Trinsights</w:t>
      </w:r>
      <w:proofErr w:type="spellEnd"/>
      <w:r w:rsidRPr="00E437D3">
        <w:rPr>
          <w:rFonts w:ascii="Calibri" w:hAnsi="Calibri" w:cs="Calibri"/>
          <w:b/>
          <w:bCs/>
          <w:color w:val="000000" w:themeColor="text1"/>
          <w:sz w:val="24"/>
          <w:szCs w:val="24"/>
        </w:rPr>
        <w:t xml:space="preserve"> SA</w:t>
      </w:r>
      <w:r w:rsidRPr="00E437D3">
        <w:rPr>
          <w:rFonts w:ascii="Calibri" w:hAnsi="Calibri" w:cs="Calibri"/>
          <w:color w:val="000000" w:themeColor="text1"/>
          <w:sz w:val="24"/>
          <w:szCs w:val="24"/>
        </w:rPr>
        <w:t> -empresa vinculada al sector ganadero que desarrolla software de procesamiento de datos de eficiencia de conversión-, firmó una carta de intención para el desarrollo de dispositivos automáticos para el manejo ganadero como balanzas de pesada al paso y dosificadores automáticos de alimento. </w:t>
      </w:r>
    </w:p>
    <w:p w14:paraId="6C4AC0E2" w14:textId="77777777" w:rsidR="00E437D3" w:rsidRPr="00E437D3" w:rsidRDefault="00E437D3" w:rsidP="00E437D3">
      <w:pPr>
        <w:jc w:val="both"/>
        <w:rPr>
          <w:rFonts w:ascii="Calibri" w:hAnsi="Calibri" w:cs="Calibri"/>
          <w:color w:val="000000" w:themeColor="text1"/>
          <w:sz w:val="24"/>
          <w:szCs w:val="24"/>
        </w:rPr>
      </w:pPr>
      <w:r w:rsidRPr="00E437D3">
        <w:rPr>
          <w:rFonts w:ascii="Calibri" w:hAnsi="Calibri" w:cs="Calibri"/>
          <w:color w:val="000000" w:themeColor="text1"/>
          <w:sz w:val="24"/>
          <w:szCs w:val="24"/>
        </w:rPr>
        <w:t>Y también en ganadería, la empresa </w:t>
      </w:r>
      <w:r w:rsidRPr="00E437D3">
        <w:rPr>
          <w:rFonts w:ascii="Calibri" w:hAnsi="Calibri" w:cs="Calibri"/>
          <w:b/>
          <w:bCs/>
          <w:color w:val="000000" w:themeColor="text1"/>
          <w:sz w:val="24"/>
          <w:szCs w:val="24"/>
        </w:rPr>
        <w:t>Balanzas Hook</w:t>
      </w:r>
      <w:r w:rsidRPr="00E437D3">
        <w:rPr>
          <w:rFonts w:ascii="Calibri" w:hAnsi="Calibri" w:cs="Calibri"/>
          <w:color w:val="000000" w:themeColor="text1"/>
          <w:sz w:val="24"/>
          <w:szCs w:val="24"/>
        </w:rPr>
        <w:t>, con trayectoria en la fábrica de balanzas y dispositivos para manejo del ganado, acordó colaborar con el INTA para la actualización y evaluación de comederos automáticos para medir el consumo residual y la eficiencia de conversión de bovinos y ovinos.</w:t>
      </w:r>
    </w:p>
    <w:p w14:paraId="70B2D1EA" w14:textId="77777777" w:rsidR="00104629" w:rsidRPr="00D06F60" w:rsidRDefault="00104629" w:rsidP="0034427C">
      <w:pPr>
        <w:jc w:val="both"/>
        <w:rPr>
          <w:rFonts w:ascii="Calibri" w:hAnsi="Calibri" w:cs="Calibri"/>
          <w:color w:val="000000" w:themeColor="text1"/>
          <w:sz w:val="24"/>
          <w:szCs w:val="24"/>
        </w:rPr>
      </w:pPr>
    </w:p>
    <w:sectPr w:rsidR="00104629" w:rsidRPr="00D06F60"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B49C" w14:textId="77777777" w:rsidR="003427C8" w:rsidRDefault="003427C8" w:rsidP="00E728E0">
      <w:pPr>
        <w:spacing w:after="0" w:line="240" w:lineRule="auto"/>
      </w:pPr>
      <w:r>
        <w:separator/>
      </w:r>
    </w:p>
  </w:endnote>
  <w:endnote w:type="continuationSeparator" w:id="0">
    <w:p w14:paraId="40AF347A" w14:textId="77777777" w:rsidR="003427C8" w:rsidRDefault="003427C8"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AACD" w14:textId="77777777" w:rsidR="003427C8" w:rsidRDefault="003427C8" w:rsidP="00E728E0">
      <w:pPr>
        <w:spacing w:after="0" w:line="240" w:lineRule="auto"/>
      </w:pPr>
      <w:r>
        <w:separator/>
      </w:r>
    </w:p>
  </w:footnote>
  <w:footnote w:type="continuationSeparator" w:id="0">
    <w:p w14:paraId="4CD03089" w14:textId="77777777" w:rsidR="003427C8" w:rsidRDefault="003427C8"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45CE2"/>
    <w:rsid w:val="00057668"/>
    <w:rsid w:val="00065F33"/>
    <w:rsid w:val="0007328F"/>
    <w:rsid w:val="00074999"/>
    <w:rsid w:val="00094001"/>
    <w:rsid w:val="000A0728"/>
    <w:rsid w:val="000B2F79"/>
    <w:rsid w:val="000B438D"/>
    <w:rsid w:val="000B6F65"/>
    <w:rsid w:val="000E21F6"/>
    <w:rsid w:val="000F38EC"/>
    <w:rsid w:val="00102CEB"/>
    <w:rsid w:val="00102D4C"/>
    <w:rsid w:val="00104629"/>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387D"/>
    <w:rsid w:val="002E4814"/>
    <w:rsid w:val="002F0B00"/>
    <w:rsid w:val="002F171A"/>
    <w:rsid w:val="002F3F85"/>
    <w:rsid w:val="002F440C"/>
    <w:rsid w:val="00304E8C"/>
    <w:rsid w:val="00306445"/>
    <w:rsid w:val="003066A3"/>
    <w:rsid w:val="0030740D"/>
    <w:rsid w:val="0031336D"/>
    <w:rsid w:val="003141DB"/>
    <w:rsid w:val="00321BBB"/>
    <w:rsid w:val="00323064"/>
    <w:rsid w:val="003316B0"/>
    <w:rsid w:val="003324BC"/>
    <w:rsid w:val="00337174"/>
    <w:rsid w:val="003427C8"/>
    <w:rsid w:val="0034427C"/>
    <w:rsid w:val="003469FF"/>
    <w:rsid w:val="003560A9"/>
    <w:rsid w:val="00365A56"/>
    <w:rsid w:val="003800F5"/>
    <w:rsid w:val="00385F1A"/>
    <w:rsid w:val="0039301D"/>
    <w:rsid w:val="003A0DAF"/>
    <w:rsid w:val="003A3E8D"/>
    <w:rsid w:val="003B18BC"/>
    <w:rsid w:val="003B50BC"/>
    <w:rsid w:val="003B54F8"/>
    <w:rsid w:val="003C22D7"/>
    <w:rsid w:val="003D1938"/>
    <w:rsid w:val="003D4E31"/>
    <w:rsid w:val="003D5D92"/>
    <w:rsid w:val="004209A0"/>
    <w:rsid w:val="0042338E"/>
    <w:rsid w:val="00437851"/>
    <w:rsid w:val="00437F88"/>
    <w:rsid w:val="00444022"/>
    <w:rsid w:val="00455E43"/>
    <w:rsid w:val="00461329"/>
    <w:rsid w:val="0049756C"/>
    <w:rsid w:val="004C2B0D"/>
    <w:rsid w:val="004C39D3"/>
    <w:rsid w:val="004C7742"/>
    <w:rsid w:val="004D0B81"/>
    <w:rsid w:val="004D471B"/>
    <w:rsid w:val="005174FF"/>
    <w:rsid w:val="005218AA"/>
    <w:rsid w:val="00521E70"/>
    <w:rsid w:val="00524AB9"/>
    <w:rsid w:val="00536258"/>
    <w:rsid w:val="005362AF"/>
    <w:rsid w:val="0055046E"/>
    <w:rsid w:val="00556DBE"/>
    <w:rsid w:val="0055763A"/>
    <w:rsid w:val="0058631F"/>
    <w:rsid w:val="005C65AF"/>
    <w:rsid w:val="005F771C"/>
    <w:rsid w:val="00606A7D"/>
    <w:rsid w:val="00621D90"/>
    <w:rsid w:val="00622BCF"/>
    <w:rsid w:val="00624B3F"/>
    <w:rsid w:val="00625DD3"/>
    <w:rsid w:val="00632F31"/>
    <w:rsid w:val="00641EC9"/>
    <w:rsid w:val="006452E5"/>
    <w:rsid w:val="0065522B"/>
    <w:rsid w:val="00676516"/>
    <w:rsid w:val="00677116"/>
    <w:rsid w:val="00683943"/>
    <w:rsid w:val="0069086B"/>
    <w:rsid w:val="00694F8A"/>
    <w:rsid w:val="00697E80"/>
    <w:rsid w:val="006A738B"/>
    <w:rsid w:val="006B2CCA"/>
    <w:rsid w:val="006B7510"/>
    <w:rsid w:val="006C322B"/>
    <w:rsid w:val="006D02DB"/>
    <w:rsid w:val="006D527F"/>
    <w:rsid w:val="006E452E"/>
    <w:rsid w:val="006F1EAE"/>
    <w:rsid w:val="00712470"/>
    <w:rsid w:val="00727086"/>
    <w:rsid w:val="00731A0B"/>
    <w:rsid w:val="007551D0"/>
    <w:rsid w:val="007645C9"/>
    <w:rsid w:val="00766C38"/>
    <w:rsid w:val="00770CF7"/>
    <w:rsid w:val="0078459D"/>
    <w:rsid w:val="007908A4"/>
    <w:rsid w:val="00792F84"/>
    <w:rsid w:val="00794D9F"/>
    <w:rsid w:val="00796F32"/>
    <w:rsid w:val="007B2BC4"/>
    <w:rsid w:val="007B7653"/>
    <w:rsid w:val="007D35F8"/>
    <w:rsid w:val="007D71FA"/>
    <w:rsid w:val="007E3B2A"/>
    <w:rsid w:val="007E46F8"/>
    <w:rsid w:val="007E548E"/>
    <w:rsid w:val="007E5D67"/>
    <w:rsid w:val="007F3815"/>
    <w:rsid w:val="007F5EAC"/>
    <w:rsid w:val="007F6FE1"/>
    <w:rsid w:val="00800285"/>
    <w:rsid w:val="008144CB"/>
    <w:rsid w:val="00821740"/>
    <w:rsid w:val="0082578B"/>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7D65"/>
    <w:rsid w:val="008E1799"/>
    <w:rsid w:val="008E2ABE"/>
    <w:rsid w:val="008F26D1"/>
    <w:rsid w:val="008F37EA"/>
    <w:rsid w:val="00901D47"/>
    <w:rsid w:val="00905F30"/>
    <w:rsid w:val="00906D6A"/>
    <w:rsid w:val="00914625"/>
    <w:rsid w:val="0092328A"/>
    <w:rsid w:val="00932FD4"/>
    <w:rsid w:val="00944138"/>
    <w:rsid w:val="00963E1E"/>
    <w:rsid w:val="00971D63"/>
    <w:rsid w:val="00972651"/>
    <w:rsid w:val="00974008"/>
    <w:rsid w:val="009761A9"/>
    <w:rsid w:val="009775CB"/>
    <w:rsid w:val="00980F12"/>
    <w:rsid w:val="00982226"/>
    <w:rsid w:val="00983D24"/>
    <w:rsid w:val="009944D1"/>
    <w:rsid w:val="009962DB"/>
    <w:rsid w:val="00997DED"/>
    <w:rsid w:val="009B2594"/>
    <w:rsid w:val="009B71ED"/>
    <w:rsid w:val="009C4BD7"/>
    <w:rsid w:val="009E6D2A"/>
    <w:rsid w:val="009F5791"/>
    <w:rsid w:val="00A06C1F"/>
    <w:rsid w:val="00A11FB9"/>
    <w:rsid w:val="00A14CED"/>
    <w:rsid w:val="00A52C59"/>
    <w:rsid w:val="00A650F7"/>
    <w:rsid w:val="00A65E2E"/>
    <w:rsid w:val="00A67DE7"/>
    <w:rsid w:val="00A715CA"/>
    <w:rsid w:val="00A756A2"/>
    <w:rsid w:val="00AA2275"/>
    <w:rsid w:val="00AB3CDA"/>
    <w:rsid w:val="00AC0F1A"/>
    <w:rsid w:val="00AC1AC1"/>
    <w:rsid w:val="00AD73B0"/>
    <w:rsid w:val="00AD75AB"/>
    <w:rsid w:val="00AD7DFB"/>
    <w:rsid w:val="00AF65AD"/>
    <w:rsid w:val="00B5397F"/>
    <w:rsid w:val="00B64FA6"/>
    <w:rsid w:val="00B664E0"/>
    <w:rsid w:val="00B71B15"/>
    <w:rsid w:val="00B80E83"/>
    <w:rsid w:val="00B83E1B"/>
    <w:rsid w:val="00B91CBD"/>
    <w:rsid w:val="00B951ED"/>
    <w:rsid w:val="00BA18A6"/>
    <w:rsid w:val="00BB35F0"/>
    <w:rsid w:val="00BD1F4C"/>
    <w:rsid w:val="00BD34C6"/>
    <w:rsid w:val="00BD6EE2"/>
    <w:rsid w:val="00BE1194"/>
    <w:rsid w:val="00BE21DE"/>
    <w:rsid w:val="00BF05B6"/>
    <w:rsid w:val="00C201D6"/>
    <w:rsid w:val="00C2252D"/>
    <w:rsid w:val="00C31B1F"/>
    <w:rsid w:val="00C4786A"/>
    <w:rsid w:val="00C6423D"/>
    <w:rsid w:val="00C64966"/>
    <w:rsid w:val="00C93348"/>
    <w:rsid w:val="00C97860"/>
    <w:rsid w:val="00CA0DBC"/>
    <w:rsid w:val="00CB0712"/>
    <w:rsid w:val="00CD4AE4"/>
    <w:rsid w:val="00CE44F2"/>
    <w:rsid w:val="00CE4BC7"/>
    <w:rsid w:val="00CF2C73"/>
    <w:rsid w:val="00D02C37"/>
    <w:rsid w:val="00D03305"/>
    <w:rsid w:val="00D06F60"/>
    <w:rsid w:val="00D07499"/>
    <w:rsid w:val="00D13CCC"/>
    <w:rsid w:val="00D20EA3"/>
    <w:rsid w:val="00D2522C"/>
    <w:rsid w:val="00D327A6"/>
    <w:rsid w:val="00D5327C"/>
    <w:rsid w:val="00D55E81"/>
    <w:rsid w:val="00D568EF"/>
    <w:rsid w:val="00D66A17"/>
    <w:rsid w:val="00D74CA8"/>
    <w:rsid w:val="00D83D2E"/>
    <w:rsid w:val="00D85507"/>
    <w:rsid w:val="00D85C2D"/>
    <w:rsid w:val="00D903B6"/>
    <w:rsid w:val="00DA5E76"/>
    <w:rsid w:val="00DB7D25"/>
    <w:rsid w:val="00DE716B"/>
    <w:rsid w:val="00DF5507"/>
    <w:rsid w:val="00DF664B"/>
    <w:rsid w:val="00E02A40"/>
    <w:rsid w:val="00E1701A"/>
    <w:rsid w:val="00E437D3"/>
    <w:rsid w:val="00E51A09"/>
    <w:rsid w:val="00E52964"/>
    <w:rsid w:val="00E630D0"/>
    <w:rsid w:val="00E651F3"/>
    <w:rsid w:val="00E670A8"/>
    <w:rsid w:val="00E728E0"/>
    <w:rsid w:val="00E7315D"/>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6782">
      <w:bodyDiv w:val="1"/>
      <w:marLeft w:val="0"/>
      <w:marRight w:val="0"/>
      <w:marTop w:val="0"/>
      <w:marBottom w:val="0"/>
      <w:divBdr>
        <w:top w:val="none" w:sz="0" w:space="0" w:color="auto"/>
        <w:left w:val="none" w:sz="0" w:space="0" w:color="auto"/>
        <w:bottom w:val="none" w:sz="0" w:space="0" w:color="auto"/>
        <w:right w:val="none" w:sz="0" w:space="0" w:color="auto"/>
      </w:divBdr>
    </w:div>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6286488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152525666">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68139625">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1101</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11</cp:revision>
  <dcterms:created xsi:type="dcterms:W3CDTF">2025-03-17T13:09:00Z</dcterms:created>
  <dcterms:modified xsi:type="dcterms:W3CDTF">2025-03-17T13:16:00Z</dcterms:modified>
</cp:coreProperties>
</file>