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Financiamiento y créditos para que el productor agropecuario potencie toda su estructura</w:t>
      </w:r>
    </w:p>
    <w:p w:rsidR="00000000" w:rsidDel="00000000" w:rsidP="00000000" w:rsidRDefault="00000000" w:rsidRPr="00000000" w14:paraId="0000000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76"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ICBC participará en Expoagro 2025 edición YPF Agro como sponsor internacional. Allí, ofrecerá herramientas para aprovechar al máximo.</w:t>
      </w:r>
    </w:p>
    <w:p w:rsidR="00000000" w:rsidDel="00000000" w:rsidP="00000000" w:rsidRDefault="00000000" w:rsidRPr="00000000" w14:paraId="0000000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Expoagro es el lugar donde productores y empresas acuden para concretar negocios y proyectar más inversiones. Sin duda, el financiamiento es un factor clave para concretar estas nuevas oportunidades En ese marco, ICBC Argentina brindará herramientas para que todos sus clientes las puedan aprovechar al máximo.</w:t>
      </w:r>
    </w:p>
    <w:p w:rsidR="00000000" w:rsidDel="00000000" w:rsidP="00000000" w:rsidRDefault="00000000" w:rsidRPr="00000000" w14:paraId="00000007">
      <w:pPr>
        <w:shd w:fill="ffffff" w:val="clear"/>
        <w:spacing w:after="280" w:before="280" w:line="276" w:lineRule="auto"/>
        <w:jc w:val="both"/>
        <w:rPr>
          <w:rFonts w:ascii="Arial" w:cs="Arial" w:eastAsia="Arial" w:hAnsi="Arial"/>
          <w:sz w:val="24"/>
          <w:szCs w:val="24"/>
        </w:rPr>
      </w:pPr>
      <w:bookmarkStart w:colFirst="0" w:colLast="0" w:name="_heading=h.30j0zll" w:id="0"/>
      <w:bookmarkEnd w:id="0"/>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Desde ICBC seguimos acompañando al sector agroindustrial con créditos acorde al ciclo productivo y servicios diferenciales para cada segmento. El 2025 vuelve a ser un año con muchísimas expectativas para el sector. Apuntamos al financiamiento de maquinaria agrícola a través de instrumentos como el leasing o préstamo prendario, y también con nuestra tarjeta Visa ICBC Campo para la compra de insumos; acompañando siempre a nuestros clientes</w:t>
      </w:r>
      <w:r w:rsidDel="00000000" w:rsidR="00000000" w:rsidRPr="00000000">
        <w:rPr>
          <w:rFonts w:ascii="Arial" w:cs="Arial" w:eastAsia="Arial" w:hAnsi="Arial"/>
          <w:sz w:val="24"/>
          <w:szCs w:val="24"/>
          <w:rtl w:val="0"/>
        </w:rPr>
        <w:t xml:space="preserve">”, señaló Agustín Ibarguren, gerente de Agronegocios de ICBC.</w:t>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el desembarco de ICBC en Argentina hace más de 12 años, se potenciaron las reuniones de productores argentinos con empresarios chinos y hubo un permanente y creciente número de operaciones entre ambos mercados. “</w:t>
      </w:r>
      <w:r w:rsidDel="00000000" w:rsidR="00000000" w:rsidRPr="00000000">
        <w:rPr>
          <w:rFonts w:ascii="Arial" w:cs="Arial" w:eastAsia="Arial" w:hAnsi="Arial"/>
          <w:i w:val="1"/>
          <w:sz w:val="24"/>
          <w:szCs w:val="24"/>
          <w:rtl w:val="0"/>
        </w:rPr>
        <w:t xml:space="preserve">El foco del Banco ICBC está puesto en conectar China con Argentina y lograr que empresas argentinas accedan al mercado chino y viceversa»,</w:t>
      </w:r>
      <w:r w:rsidDel="00000000" w:rsidR="00000000" w:rsidRPr="00000000">
        <w:rPr>
          <w:rFonts w:ascii="Arial" w:cs="Arial" w:eastAsia="Arial" w:hAnsi="Arial"/>
          <w:sz w:val="24"/>
          <w:szCs w:val="24"/>
          <w:rtl w:val="0"/>
        </w:rPr>
        <w:t xml:space="preserve"> afirmó Ibarguren y añadió que</w:t>
      </w:r>
      <w:r w:rsidDel="00000000" w:rsidR="00000000" w:rsidRPr="00000000">
        <w:rPr>
          <w:rFonts w:ascii="Arial" w:cs="Arial" w:eastAsia="Arial" w:hAnsi="Arial"/>
          <w:i w:val="1"/>
          <w:sz w:val="24"/>
          <w:szCs w:val="24"/>
          <w:rtl w:val="0"/>
        </w:rPr>
        <w:t xml:space="preserve"> “la presencia de ICBC en Expoagro 2025 será una oportunidad propicia para compartir la experiencia de las exitosas reuniones entre empresarios de ambos países”.</w:t>
      </w: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el Banco insiste en la búsqueda constante de oportunidades que le permitan desempeñar un papel fundamental en el impulso del desarrollo del agro argentino, reafirmando su compromiso con el desarrollo sostenible del sector agroindustrial y su papel como facilitador de negocios entre Argentina y China. La entidad espera a todos sus clientes en el stand N° 670, para seguir trabajando en conjunto e impulsar el campo argentino.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9627" cy="34712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7535" cy="128963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7535" cy="12896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B951ED"/>
    <w:pPr>
      <w:keepNext w:val="1"/>
      <w:keepLines w:val="1"/>
      <w:spacing w:after="0" w:before="40" w:line="240" w:lineRule="auto"/>
      <w:outlineLvl w:val="1"/>
    </w:pPr>
    <w:rPr>
      <w:rFonts w:asciiTheme="majorHAnsi" w:cstheme="majorBidi" w:eastAsiaTheme="majorEastAsia" w:hAnsiTheme="majorHAnsi"/>
      <w:color w:val="2e74b5" w:themeColor="accent1" w:themeShade="0000BF"/>
      <w:sz w:val="26"/>
      <w:szCs w:val="26"/>
      <w:lang w:eastAsia="es-AR"/>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Prrafodelista">
    <w:name w:val="List Paragraph"/>
    <w:basedOn w:val="Normal"/>
    <w:uiPriority w:val="34"/>
    <w:qFormat w:val="1"/>
    <w:rsid w:val="002664D6"/>
    <w:pPr>
      <w:ind w:left="720"/>
      <w:contextualSpacing w:val="1"/>
    </w:pPr>
    <w:rPr>
      <w:rFonts w:ascii="Calibri" w:cs="Calibri" w:eastAsia="Calibri" w:hAnsi="Calibri"/>
      <w:lang w:eastAsia="es-AR"/>
    </w:rPr>
  </w:style>
  <w:style w:type="paragraph" w:styleId="paragraph" w:customStyle="1">
    <w:name w:val="paragraph"/>
    <w:basedOn w:val="Normal"/>
    <w:rsid w:val="005362AF"/>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normaltextrun" w:customStyle="1">
    <w:name w:val="normaltextrun"/>
    <w:basedOn w:val="Fuentedeprrafopredeter"/>
    <w:rsid w:val="005362AF"/>
  </w:style>
  <w:style w:type="character" w:styleId="eop" w:customStyle="1">
    <w:name w:val="eop"/>
    <w:basedOn w:val="Fuentedeprrafopredeter"/>
    <w:rsid w:val="005362AF"/>
  </w:style>
  <w:style w:type="character" w:styleId="Ttulo2Car" w:customStyle="1">
    <w:name w:val="Título 2 Car"/>
    <w:basedOn w:val="Fuentedeprrafopredeter"/>
    <w:link w:val="Ttulo2"/>
    <w:uiPriority w:val="9"/>
    <w:rsid w:val="00B951ED"/>
    <w:rPr>
      <w:rFonts w:asciiTheme="majorHAnsi" w:cstheme="majorBidi" w:eastAsiaTheme="majorEastAsia" w:hAnsiTheme="majorHAnsi"/>
      <w:color w:val="2e74b5" w:themeColor="accent1" w:themeShade="0000BF"/>
      <w:sz w:val="26"/>
      <w:szCs w:val="26"/>
      <w:lang w:eastAsia="es-AR"/>
    </w:rPr>
  </w:style>
  <w:style w:type="paragraph" w:styleId="xmsonormal" w:customStyle="1">
    <w:name w:val="x_msonormal"/>
    <w:basedOn w:val="Normal"/>
    <w:rsid w:val="00B951ED"/>
    <w:pPr>
      <w:spacing w:after="0" w:line="240" w:lineRule="auto"/>
    </w:pPr>
    <w:rPr>
      <w:rFonts w:ascii="Calibri" w:cs="Calibri" w:hAnsi="Calibri"/>
      <w:lang w:eastAsia="es-AR"/>
    </w:rPr>
  </w:style>
  <w:style w:type="character" w:styleId="contentpasted0" w:customStyle="1">
    <w:name w:val="contentpasted0"/>
    <w:basedOn w:val="Fuentedeprrafopredeter"/>
    <w:rsid w:val="00B951ED"/>
  </w:style>
  <w:style w:type="character" w:styleId="Hipervnculo">
    <w:name w:val="Hyperlink"/>
    <w:basedOn w:val="Fuentedeprrafopredeter"/>
    <w:uiPriority w:val="99"/>
    <w:unhideWhenUsed w:val="1"/>
    <w:rsid w:val="00B951ED"/>
    <w:rPr>
      <w:color w:val="0563c1" w:themeColor="hyperlink"/>
      <w:u w:val="single"/>
    </w:rPr>
  </w:style>
  <w:style w:type="character" w:styleId="Mencinsinresolver">
    <w:name w:val="Unresolved Mention"/>
    <w:basedOn w:val="Fuentedeprrafopredeter"/>
    <w:uiPriority w:val="99"/>
    <w:semiHidden w:val="1"/>
    <w:unhideWhenUsed w:val="1"/>
    <w:rsid w:val="00A756A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BbDKF+iLvPnO4ATvIOrOAhQAA==">CgMxLjAyCWguMzBqMHpsbDgAciExZUYwZ2NIdkJveG5ZZFFxb25IZ2U5RTR1dS1US0xEdUQ=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2024-03-13T15:02:00Z</dcterms:created>
  <dc:creator>ANYI</dc:creator>
</cp:coreProperties>
</file>