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2F23D" w14:textId="77777777" w:rsidR="003B7471" w:rsidRDefault="00F64DB2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6"/>
          <w:szCs w:val="26"/>
        </w:rPr>
        <w:t xml:space="preserve">Lo mejor de las semillas en Expoagro: genética + IA para cada lote </w:t>
      </w:r>
    </w:p>
    <w:p w14:paraId="1F73FC3B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Nidera, el semillero oficial se prepara con lanzamientos en maíz, girasol y soja y sigue sumando tecnología de datos para acertar en todos los ambientes. </w:t>
      </w:r>
    </w:p>
    <w:p w14:paraId="3FA036D4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una campaña donde el clima tiene un impacto significativo en las decisiones de siembra, Nidera Semillas reafirma su compromiso con el productor a lo largo de todo el ciclo del cultivo. Del 11 al 14 de marzo, en San Nicolás, el semillero oficial de Expoa</w:t>
      </w:r>
      <w:r>
        <w:rPr>
          <w:rFonts w:ascii="Arial" w:eastAsia="Arial" w:hAnsi="Arial" w:cs="Arial"/>
          <w:sz w:val="20"/>
          <w:szCs w:val="20"/>
        </w:rPr>
        <w:t>gro estará listo para demostrar por qué el vínculo con los productores no para de crecer, y se refuerza con el lanzamiento de nuevos materiales y la apuesta a la inteligencia artificial que permite acotar los márgenes de error en un contexto desafiante.</w:t>
      </w:r>
    </w:p>
    <w:p w14:paraId="0064433A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 su espacio dentro de la Capital Nacional de los </w:t>
      </w:r>
      <w:proofErr w:type="spellStart"/>
      <w:r>
        <w:rPr>
          <w:rFonts w:ascii="Arial" w:eastAsia="Arial" w:hAnsi="Arial" w:cs="Arial"/>
          <w:sz w:val="20"/>
          <w:szCs w:val="20"/>
        </w:rPr>
        <w:t>Agronegocios</w:t>
      </w:r>
      <w:proofErr w:type="spellEnd"/>
      <w:r>
        <w:rPr>
          <w:rFonts w:ascii="Arial" w:eastAsia="Arial" w:hAnsi="Arial" w:cs="Arial"/>
          <w:sz w:val="20"/>
          <w:szCs w:val="20"/>
        </w:rPr>
        <w:t>, el maíz picará en punta con NS 7765 VIPTERA3, un híbrido que, según describen desde la empresa, posee “</w:t>
      </w:r>
      <w:r>
        <w:rPr>
          <w:rFonts w:ascii="Arial" w:eastAsia="Arial" w:hAnsi="Arial" w:cs="Arial"/>
          <w:i/>
          <w:sz w:val="20"/>
          <w:szCs w:val="20"/>
        </w:rPr>
        <w:t>el máximo potencial de rendimiento y estabilidad en fechas de siembra tempranas y excelent</w:t>
      </w:r>
      <w:r>
        <w:rPr>
          <w:rFonts w:ascii="Arial" w:eastAsia="Arial" w:hAnsi="Arial" w:cs="Arial"/>
          <w:i/>
          <w:sz w:val="20"/>
          <w:szCs w:val="20"/>
        </w:rPr>
        <w:t>e adaptación en fechas de siembra tardía</w:t>
      </w:r>
      <w:r>
        <w:rPr>
          <w:rFonts w:ascii="Arial" w:eastAsia="Arial" w:hAnsi="Arial" w:cs="Arial"/>
          <w:sz w:val="20"/>
          <w:szCs w:val="20"/>
        </w:rPr>
        <w:t xml:space="preserve">”. </w:t>
      </w:r>
    </w:p>
    <w:p w14:paraId="2173C43D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su parte, Leandro Ulrich, gerente de Desarrollo de Producto de Nidera Semillas, agregó: “</w:t>
      </w:r>
      <w:r>
        <w:rPr>
          <w:rFonts w:ascii="Arial" w:eastAsia="Arial" w:hAnsi="Arial" w:cs="Arial"/>
          <w:i/>
          <w:sz w:val="20"/>
          <w:szCs w:val="20"/>
        </w:rPr>
        <w:t>Esta genética ha demostrado un muy buen perfil agronómico con la mejor biotecnología para el control de lepidópteros. A</w:t>
      </w:r>
      <w:r>
        <w:rPr>
          <w:rFonts w:ascii="Arial" w:eastAsia="Arial" w:hAnsi="Arial" w:cs="Arial"/>
          <w:i/>
          <w:sz w:val="20"/>
          <w:szCs w:val="20"/>
        </w:rPr>
        <w:t>demás, supera nuestro portfolio y el de la competencia en lo que es vuelco, quebrado y un muy buen perfil sanitario ante royas y tizón</w:t>
      </w:r>
      <w:r>
        <w:rPr>
          <w:rFonts w:ascii="Arial" w:eastAsia="Arial" w:hAnsi="Arial" w:cs="Arial"/>
          <w:sz w:val="20"/>
          <w:szCs w:val="20"/>
        </w:rPr>
        <w:t xml:space="preserve">”.  </w:t>
      </w:r>
    </w:p>
    <w:p w14:paraId="713C2C87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Quienes visiten el </w:t>
      </w:r>
      <w:proofErr w:type="spellStart"/>
      <w:r>
        <w:rPr>
          <w:rFonts w:ascii="Arial" w:eastAsia="Arial" w:hAnsi="Arial" w:cs="Arial"/>
          <w:sz w:val="20"/>
          <w:szCs w:val="20"/>
        </w:rPr>
        <w:t>plot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instalado especialmente en Expoagro podrán observar ensayos con este híbrido para evaluar su </w:t>
      </w:r>
      <w:r>
        <w:rPr>
          <w:rFonts w:ascii="Arial" w:eastAsia="Arial" w:hAnsi="Arial" w:cs="Arial"/>
          <w:sz w:val="20"/>
          <w:szCs w:val="20"/>
        </w:rPr>
        <w:t>respuesta a diferentes densidades de siembra. Además, se podrá apreciar su comportamiento junto a otros del portfolio de maíz, en siembras tempranas y tardías.</w:t>
      </w:r>
    </w:p>
    <w:p w14:paraId="2C853380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el caso de siembras tardías, la marca estará presente con SS2223S VIPTERA3, la nueva introd</w:t>
      </w:r>
      <w:r>
        <w:rPr>
          <w:rFonts w:ascii="Arial" w:eastAsia="Arial" w:hAnsi="Arial" w:cs="Arial"/>
          <w:sz w:val="20"/>
          <w:szCs w:val="20"/>
        </w:rPr>
        <w:t>ucción tropical en su portfolio, y el destacado NS 7624 VIPTERA3 CL.</w:t>
      </w:r>
    </w:p>
    <w:p w14:paraId="0D15841A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Pasando a girasol, se pondrá el foco en cuatro híbridos. “</w:t>
      </w:r>
      <w:r>
        <w:rPr>
          <w:rFonts w:ascii="Arial" w:eastAsia="Arial" w:hAnsi="Arial" w:cs="Arial"/>
          <w:i/>
          <w:sz w:val="20"/>
          <w:szCs w:val="20"/>
        </w:rPr>
        <w:t xml:space="preserve">Tres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linoléicos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de altísimo potencial de rendimiento, contenido de aceite y perfil sanitario: NS 1113 CL, NS 1109 CL y NS 1115 CL</w:t>
      </w:r>
      <w:r>
        <w:rPr>
          <w:rFonts w:ascii="Arial" w:eastAsia="Arial" w:hAnsi="Arial" w:cs="Arial"/>
          <w:i/>
          <w:sz w:val="20"/>
          <w:szCs w:val="20"/>
        </w:rPr>
        <w:t>. Y un híbrido alto oleico, NS 1227 CL HO, que se destaca por su excelente potencial de rendimiento, contenido de aceite y su alta performance en todos los ambientes, tanto de alta como de baja productividad. Además, ha demostrado un buen comportamiento fr</w:t>
      </w:r>
      <w:r>
        <w:rPr>
          <w:rFonts w:ascii="Arial" w:eastAsia="Arial" w:hAnsi="Arial" w:cs="Arial"/>
          <w:i/>
          <w:sz w:val="20"/>
          <w:szCs w:val="20"/>
        </w:rPr>
        <w:t xml:space="preserve">ente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Phomopsis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y resistencia a las principales razas de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Downy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Mildew</w:t>
      </w:r>
      <w:proofErr w:type="spellEnd"/>
      <w:r>
        <w:rPr>
          <w:rFonts w:ascii="Arial" w:eastAsia="Arial" w:hAnsi="Arial" w:cs="Arial"/>
          <w:sz w:val="20"/>
          <w:szCs w:val="20"/>
        </w:rPr>
        <w:t>”, informaron desde Nidera.</w:t>
      </w:r>
    </w:p>
    <w:p w14:paraId="0D79A1AE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soja, Nidera mostrará un amplio abanico de variedades desde grupo 4 corto a 6 corto, en fechas de siembra tempranas y tardías. Entre las variedades 4 corto</w:t>
      </w:r>
      <w:r>
        <w:rPr>
          <w:rFonts w:ascii="Arial" w:eastAsia="Arial" w:hAnsi="Arial" w:cs="Arial"/>
          <w:sz w:val="20"/>
          <w:szCs w:val="20"/>
        </w:rPr>
        <w:t xml:space="preserve"> se presentan 4024 STS NS y 4323 </w:t>
      </w:r>
      <w:proofErr w:type="spellStart"/>
      <w:r>
        <w:rPr>
          <w:rFonts w:ascii="Arial" w:eastAsia="Arial" w:hAnsi="Arial" w:cs="Arial"/>
          <w:sz w:val="20"/>
          <w:szCs w:val="20"/>
        </w:rPr>
        <w:t>Enlist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NS, ambas con gran potencial de rendimiento y con tecnologías para el manejo de malezas difíciles. En el grupo 4 medio, 4634 </w:t>
      </w:r>
      <w:proofErr w:type="spellStart"/>
      <w:r>
        <w:rPr>
          <w:rFonts w:ascii="Arial" w:eastAsia="Arial" w:hAnsi="Arial" w:cs="Arial"/>
          <w:sz w:val="20"/>
          <w:szCs w:val="20"/>
        </w:rPr>
        <w:t>Enlist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STS NS y NS 4642 STS demostrarán su excelente performance. En tanto que en el grupo </w:t>
      </w:r>
      <w:r>
        <w:rPr>
          <w:rFonts w:ascii="Arial" w:eastAsia="Arial" w:hAnsi="Arial" w:cs="Arial"/>
          <w:sz w:val="20"/>
          <w:szCs w:val="20"/>
        </w:rPr>
        <w:t xml:space="preserve">4 largo, 5 corto y 5 medio, estarán 4924 </w:t>
      </w:r>
      <w:proofErr w:type="spellStart"/>
      <w:r>
        <w:rPr>
          <w:rFonts w:ascii="Arial" w:eastAsia="Arial" w:hAnsi="Arial" w:cs="Arial"/>
          <w:sz w:val="20"/>
          <w:szCs w:val="20"/>
        </w:rPr>
        <w:t>Enlist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STS, NS 5023 STS y NS 5421 STS, respectivamente. En 6 corto, 6223 </w:t>
      </w:r>
      <w:proofErr w:type="spellStart"/>
      <w:r>
        <w:rPr>
          <w:rFonts w:ascii="Arial" w:eastAsia="Arial" w:hAnsi="Arial" w:cs="Arial"/>
          <w:sz w:val="20"/>
          <w:szCs w:val="20"/>
        </w:rPr>
        <w:t>Conkesta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cierra la paleta tecnológica.</w:t>
      </w:r>
    </w:p>
    <w:p w14:paraId="0E3C4796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Expoagro, Nidera Semillas volverá a mostrar por qué viene haciendo vanguardia en el uso de inteligen</w:t>
      </w:r>
      <w:r>
        <w:rPr>
          <w:rFonts w:ascii="Arial" w:eastAsia="Arial" w:hAnsi="Arial" w:cs="Arial"/>
          <w:sz w:val="20"/>
          <w:szCs w:val="20"/>
        </w:rPr>
        <w:t>cia artificial al servicio del productor. La plataforma ASISTA de la marca brinda sugerencias basadas en modelos agronómicos y datos históricos para ofrecer recomendaciones personalizadas a los productores y optimizar el rendimiento de los cultivos. “</w:t>
      </w:r>
      <w:r>
        <w:rPr>
          <w:rFonts w:ascii="Arial" w:eastAsia="Arial" w:hAnsi="Arial" w:cs="Arial"/>
          <w:i/>
          <w:sz w:val="20"/>
          <w:szCs w:val="20"/>
        </w:rPr>
        <w:t>Se tr</w:t>
      </w:r>
      <w:r>
        <w:rPr>
          <w:rFonts w:ascii="Arial" w:eastAsia="Arial" w:hAnsi="Arial" w:cs="Arial"/>
          <w:i/>
          <w:sz w:val="20"/>
          <w:szCs w:val="20"/>
        </w:rPr>
        <w:t>ata de una herramienta que desde hace tiempo viene creciendo y evolucionando y se basa en modelos avanzados para la toma de decisiones. La plataforma permite identificar no solo la mejor genética para cada ambiente sino también las recomendaciones precisas</w:t>
      </w:r>
      <w:r>
        <w:rPr>
          <w:rFonts w:ascii="Arial" w:eastAsia="Arial" w:hAnsi="Arial" w:cs="Arial"/>
          <w:i/>
          <w:sz w:val="20"/>
          <w:szCs w:val="20"/>
        </w:rPr>
        <w:t xml:space="preserve"> de fecha de siembra, densidad y fertilización</w:t>
      </w:r>
      <w:r>
        <w:rPr>
          <w:rFonts w:ascii="Arial" w:eastAsia="Arial" w:hAnsi="Arial" w:cs="Arial"/>
          <w:sz w:val="20"/>
          <w:szCs w:val="20"/>
        </w:rPr>
        <w:t>”, explica Ulrich.</w:t>
      </w:r>
    </w:p>
    <w:p w14:paraId="399301E3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Para el caso de soja, la marca estará presente con su módulo de fenología que permite ingresar una serie de datos y obtener recomendaciones precisas de siembra. “</w:t>
      </w:r>
      <w:r>
        <w:rPr>
          <w:rFonts w:ascii="Arial" w:eastAsia="Arial" w:hAnsi="Arial" w:cs="Arial"/>
          <w:i/>
          <w:sz w:val="20"/>
          <w:szCs w:val="20"/>
        </w:rPr>
        <w:t>El visitante va a poder ingre</w:t>
      </w:r>
      <w:r>
        <w:rPr>
          <w:rFonts w:ascii="Arial" w:eastAsia="Arial" w:hAnsi="Arial" w:cs="Arial"/>
          <w:i/>
          <w:sz w:val="20"/>
          <w:szCs w:val="20"/>
        </w:rPr>
        <w:t xml:space="preserve">sar la variedad genética, la localidad o zona de siembra, la fecha de siembra, el tipo de año —normal, seco o húmedo— y el porcentaje de agua inicial que tiene al inicio de la siembra —30, 60 o 90 por ciento. Con esos datos, el módulo de fenología le va a </w:t>
      </w:r>
      <w:r>
        <w:rPr>
          <w:rFonts w:ascii="Arial" w:eastAsia="Arial" w:hAnsi="Arial" w:cs="Arial"/>
          <w:i/>
          <w:sz w:val="20"/>
          <w:szCs w:val="20"/>
        </w:rPr>
        <w:t>indicar el ciclo de esa variedad que seleccionó, adónde va a caer el período crítico, el porcentaje de agua útil en el suelo y la probabilidad de que ocurra una helada sembrando en una determinada fecha</w:t>
      </w:r>
      <w:r>
        <w:rPr>
          <w:rFonts w:ascii="Arial" w:eastAsia="Arial" w:hAnsi="Arial" w:cs="Arial"/>
          <w:sz w:val="20"/>
          <w:szCs w:val="20"/>
        </w:rPr>
        <w:t xml:space="preserve">”, explicó Sheila </w:t>
      </w:r>
      <w:proofErr w:type="spellStart"/>
      <w:r>
        <w:rPr>
          <w:rFonts w:ascii="Arial" w:eastAsia="Arial" w:hAnsi="Arial" w:cs="Arial"/>
          <w:sz w:val="20"/>
          <w:szCs w:val="20"/>
        </w:rPr>
        <w:t>Casanave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Ponti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líder de Desarrollo </w:t>
      </w:r>
      <w:r>
        <w:rPr>
          <w:rFonts w:ascii="Arial" w:eastAsia="Arial" w:hAnsi="Arial" w:cs="Arial"/>
          <w:sz w:val="20"/>
          <w:szCs w:val="20"/>
        </w:rPr>
        <w:t>de Producto Soja para Nidera Semillas.</w:t>
      </w:r>
    </w:p>
    <w:p w14:paraId="57BC2460" w14:textId="77777777" w:rsidR="003B7471" w:rsidRDefault="00F64DB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Además, la exposición será un excelente marco para reunir a la red de distribuidores exclusivos RED-IN, tomar contacto con productores y asesores, dar a conocer los últimos avances en genética y biotecnología, los ser</w:t>
      </w:r>
      <w:r>
        <w:rPr>
          <w:rFonts w:ascii="Arial" w:eastAsia="Arial" w:hAnsi="Arial" w:cs="Arial"/>
          <w:sz w:val="20"/>
          <w:szCs w:val="20"/>
        </w:rPr>
        <w:t>vicios de Recomendación Nidera, Variable Nidera, Nidera Vuela, Resiembra Nidera y Seguimiento Nidera, y volver a encontrar, juntos, la forma de potenciar los lotes de la Argentina.</w:t>
      </w:r>
    </w:p>
    <w:p w14:paraId="67CC5894" w14:textId="77777777" w:rsidR="003B7471" w:rsidRDefault="003B7471">
      <w:pPr>
        <w:spacing w:line="276" w:lineRule="auto"/>
        <w:rPr>
          <w:rFonts w:ascii="Arial" w:eastAsia="Arial" w:hAnsi="Arial" w:cs="Arial"/>
        </w:rPr>
      </w:pPr>
    </w:p>
    <w:sectPr w:rsidR="003B7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6A57" w14:textId="77777777" w:rsidR="00000000" w:rsidRDefault="00F64DB2">
      <w:pPr>
        <w:spacing w:after="0" w:line="240" w:lineRule="auto"/>
      </w:pPr>
      <w:r>
        <w:separator/>
      </w:r>
    </w:p>
  </w:endnote>
  <w:endnote w:type="continuationSeparator" w:id="0">
    <w:p w14:paraId="505D3049" w14:textId="77777777" w:rsidR="00000000" w:rsidRDefault="00F6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0034" w14:textId="77777777" w:rsidR="003B7471" w:rsidRDefault="003B7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D11C" w14:textId="77777777" w:rsidR="003B7471" w:rsidRDefault="00F64D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73A88C2" wp14:editId="3B9D3572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FF42" w14:textId="77777777" w:rsidR="003B7471" w:rsidRDefault="003B7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7614" w14:textId="77777777" w:rsidR="00000000" w:rsidRDefault="00F64DB2">
      <w:pPr>
        <w:spacing w:after="0" w:line="240" w:lineRule="auto"/>
      </w:pPr>
      <w:r>
        <w:separator/>
      </w:r>
    </w:p>
  </w:footnote>
  <w:footnote w:type="continuationSeparator" w:id="0">
    <w:p w14:paraId="64F42AD8" w14:textId="77777777" w:rsidR="00000000" w:rsidRDefault="00F6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9C8B" w14:textId="77777777" w:rsidR="003B7471" w:rsidRDefault="003B7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595A" w14:textId="77777777" w:rsidR="003B7471" w:rsidRDefault="00F64D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C07D4A9" wp14:editId="73762A1D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B073" w14:textId="77777777" w:rsidR="003B7471" w:rsidRDefault="003B7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71"/>
    <w:rsid w:val="003B7471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2285"/>
  <w15:docId w15:val="{1C54C350-0FEF-4D40-8C29-8A74B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0j6DkqokI+Zr0KLHBNEHaf3HA==">CgMxLjAyCGguZ2pkZ3hzOAByITFZU2d5SGFSekJrcTZ1SU1uc0dhdWFvekhTTmJYUGhWVA==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513D23-1DE8-4C87-87A8-BAF6C615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E6A8C-83C1-46E7-8540-4A53A4629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15CB3-C07F-442F-9FB8-FB39CFE3B9C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8ea0c7a9-7812-4ab2-837e-97a9ce7f45bd"/>
    <ds:schemaRef ds:uri="http://www.w3.org/XML/1998/namespace"/>
    <ds:schemaRef ds:uri="d24e3aec-322b-40d6-846f-3ce85be438e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2025-02-17T15:47:00Z</dcterms:created>
  <dcterms:modified xsi:type="dcterms:W3CDTF">2025-02-17T15:47:00Z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