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1E0F4" w14:textId="18B00F4C" w:rsidR="00D5386C" w:rsidRPr="007F16AD" w:rsidRDefault="00493943" w:rsidP="00D5386C">
      <w:pPr>
        <w:jc w:val="center"/>
        <w:rPr>
          <w:sz w:val="28"/>
          <w:szCs w:val="28"/>
        </w:rPr>
      </w:pPr>
      <w:r w:rsidRPr="007F16AD">
        <w:rPr>
          <w:b/>
          <w:bCs/>
          <w:sz w:val="28"/>
          <w:szCs w:val="28"/>
        </w:rPr>
        <w:t>Presentan un innovador equipo en la gestión de residuos</w:t>
      </w:r>
      <w:r w:rsidRPr="007F16AD">
        <w:rPr>
          <w:b/>
          <w:bCs/>
          <w:sz w:val="28"/>
          <w:szCs w:val="28"/>
        </w:rPr>
        <w:t xml:space="preserve"> p</w:t>
      </w:r>
      <w:r w:rsidR="00D5386C" w:rsidRPr="007F16AD">
        <w:rPr>
          <w:b/>
          <w:bCs/>
          <w:sz w:val="28"/>
          <w:szCs w:val="28"/>
        </w:rPr>
        <w:t>ecuarios</w:t>
      </w:r>
    </w:p>
    <w:p w14:paraId="2443D469" w14:textId="6CFF31D3" w:rsidR="007F16AD" w:rsidRPr="00A907FA" w:rsidRDefault="00D5386C" w:rsidP="00A907FA">
      <w:pPr>
        <w:jc w:val="center"/>
        <w:rPr>
          <w:i/>
          <w:iCs/>
          <w:sz w:val="24"/>
          <w:szCs w:val="24"/>
        </w:rPr>
      </w:pPr>
      <w:r w:rsidRPr="007F16AD">
        <w:rPr>
          <w:i/>
          <w:iCs/>
          <w:sz w:val="24"/>
          <w:szCs w:val="24"/>
        </w:rPr>
        <w:t>AKRON</w:t>
      </w:r>
      <w:r w:rsidR="00032CA0" w:rsidRPr="007F16AD">
        <w:rPr>
          <w:i/>
          <w:iCs/>
          <w:sz w:val="24"/>
          <w:szCs w:val="24"/>
        </w:rPr>
        <w:t xml:space="preserve"> destaca las ventajas </w:t>
      </w:r>
      <w:r w:rsidR="00032CA0" w:rsidRPr="007F16AD">
        <w:rPr>
          <w:i/>
          <w:iCs/>
          <w:sz w:val="24"/>
          <w:szCs w:val="24"/>
        </w:rPr>
        <w:t>Esparcidor de Enmienda Orgánica AKRON EE2018</w:t>
      </w:r>
      <w:r w:rsidR="007F16AD" w:rsidRPr="007F16AD">
        <w:rPr>
          <w:i/>
          <w:iCs/>
          <w:sz w:val="24"/>
          <w:szCs w:val="24"/>
        </w:rPr>
        <w:t>. El más reciente lanzamiento de la marca que ya se posiciona fuertemente en el mercado</w:t>
      </w:r>
      <w:r w:rsidR="007F16AD" w:rsidRPr="007F16AD">
        <w:rPr>
          <w:i/>
          <w:iCs/>
          <w:sz w:val="24"/>
          <w:szCs w:val="24"/>
        </w:rPr>
        <w:t>.</w:t>
      </w:r>
    </w:p>
    <w:p w14:paraId="72AA8CA0" w14:textId="10AA1579" w:rsidR="00D5386C" w:rsidRPr="00D5386C" w:rsidRDefault="002020B5" w:rsidP="00D5386C">
      <w:pPr>
        <w:jc w:val="both"/>
        <w:rPr>
          <w:sz w:val="24"/>
          <w:szCs w:val="24"/>
        </w:rPr>
      </w:pPr>
      <w:r w:rsidRPr="002020B5">
        <w:rPr>
          <w:sz w:val="24"/>
          <w:szCs w:val="24"/>
        </w:rPr>
        <w:t xml:space="preserve">La correcta gestión de los residuos generados en las explotaciones ganaderas es clave para mejorar la productividad agrícola y promover prácticas sostenibles. Dichos residuos correctamente procesados, pueden ser aprovechados como valiosas enmiendas orgánicas para enriquecer los suelos. En este sentido, los </w:t>
      </w:r>
      <w:r w:rsidRPr="002020B5">
        <w:rPr>
          <w:b/>
          <w:bCs/>
          <w:sz w:val="24"/>
          <w:szCs w:val="24"/>
        </w:rPr>
        <w:t>Esparcidores de Enmienda Orgánica AKRON</w:t>
      </w:r>
      <w:r w:rsidRPr="002020B5">
        <w:rPr>
          <w:sz w:val="24"/>
          <w:szCs w:val="24"/>
        </w:rPr>
        <w:t xml:space="preserve"> se presentan como una solución eficiente y rentable para aplicar enmiendas orgánicas derivadas de los subproductos sólidos y </w:t>
      </w:r>
      <w:proofErr w:type="spellStart"/>
      <w:r w:rsidRPr="002020B5">
        <w:rPr>
          <w:sz w:val="24"/>
          <w:szCs w:val="24"/>
        </w:rPr>
        <w:t>semi-sólidos</w:t>
      </w:r>
      <w:proofErr w:type="spellEnd"/>
      <w:r w:rsidRPr="002020B5">
        <w:rPr>
          <w:sz w:val="24"/>
          <w:szCs w:val="24"/>
        </w:rPr>
        <w:t xml:space="preserve"> de las actividades ganaderas, avícolas y porcinas.</w:t>
      </w:r>
    </w:p>
    <w:p w14:paraId="13E1D43B" w14:textId="11F489EF" w:rsidR="00D5386C" w:rsidRPr="00D5386C" w:rsidRDefault="002020B5" w:rsidP="00D5386C">
      <w:pPr>
        <w:jc w:val="both"/>
        <w:rPr>
          <w:sz w:val="24"/>
          <w:szCs w:val="24"/>
        </w:rPr>
      </w:pPr>
      <w:r>
        <w:rPr>
          <w:sz w:val="24"/>
          <w:szCs w:val="24"/>
        </w:rPr>
        <w:t>Desde la empresa de San Francisco, destacan que u</w:t>
      </w:r>
      <w:r w:rsidR="00D5386C" w:rsidRPr="00D5386C">
        <w:rPr>
          <w:sz w:val="24"/>
          <w:szCs w:val="24"/>
        </w:rPr>
        <w:t xml:space="preserve">sar un </w:t>
      </w:r>
      <w:r w:rsidR="00D5386C" w:rsidRPr="00D5386C">
        <w:rPr>
          <w:b/>
          <w:bCs/>
          <w:sz w:val="24"/>
          <w:szCs w:val="24"/>
        </w:rPr>
        <w:t>Esparcidor de Enmienda Orgánica AKRON</w:t>
      </w:r>
      <w:r w:rsidR="00D5386C" w:rsidRPr="00D5386C">
        <w:rPr>
          <w:sz w:val="24"/>
          <w:szCs w:val="24"/>
        </w:rPr>
        <w:t xml:space="preserve"> permite aprovechar los residuos ganaderos, transformándolos en un excelente fertilizante natural que no solo aporta nutrientes esenciales para los cultivos, sino que también ofrece una serie de beneficios adicionales para la mejora del suelo, tales como: mejoras en la estructura y estabilidad de los agregados, incremento de la porosidad, la retención y circulación de agua y oxígeno, potencia la resistencia a la erosión, aumenta la biodiversidad del suelo y mejora las reservas de nutrientes disponibles para los cultivos.</w:t>
      </w:r>
    </w:p>
    <w:p w14:paraId="2A5D23C3" w14:textId="14EB955B" w:rsidR="00D5386C" w:rsidRPr="00D5386C" w:rsidRDefault="00D5386C" w:rsidP="00D5386C">
      <w:pPr>
        <w:jc w:val="both"/>
        <w:rPr>
          <w:sz w:val="24"/>
          <w:szCs w:val="24"/>
        </w:rPr>
      </w:pPr>
      <w:r w:rsidRPr="00D5386C">
        <w:rPr>
          <w:sz w:val="24"/>
          <w:szCs w:val="24"/>
        </w:rPr>
        <w:t>Las enmiendas orgánicas son una alternativa muy importante en la actualidad, convirtiéndose en una opción económica y eficiente, sin costo de compra, solo de manipulación por parte de los productores.</w:t>
      </w:r>
    </w:p>
    <w:p w14:paraId="5231AF74" w14:textId="77777777" w:rsidR="00D5386C" w:rsidRPr="00D5386C" w:rsidRDefault="00D5386C" w:rsidP="00D5386C">
      <w:pPr>
        <w:jc w:val="both"/>
        <w:rPr>
          <w:sz w:val="24"/>
          <w:szCs w:val="24"/>
        </w:rPr>
      </w:pPr>
      <w:r w:rsidRPr="00D5386C">
        <w:rPr>
          <w:sz w:val="24"/>
          <w:szCs w:val="24"/>
        </w:rPr>
        <w:t xml:space="preserve">El </w:t>
      </w:r>
      <w:r w:rsidRPr="00D5386C">
        <w:rPr>
          <w:b/>
          <w:bCs/>
          <w:sz w:val="24"/>
          <w:szCs w:val="24"/>
        </w:rPr>
        <w:t>Esparcidor de Enmienda Orgánica AKRON EE2018</w:t>
      </w:r>
      <w:r w:rsidRPr="00D5386C">
        <w:rPr>
          <w:sz w:val="24"/>
          <w:szCs w:val="24"/>
        </w:rPr>
        <w:t xml:space="preserve"> se distingue de otros modelos de la misma marca, como los </w:t>
      </w:r>
      <w:r w:rsidRPr="00D5386C">
        <w:rPr>
          <w:b/>
          <w:bCs/>
          <w:sz w:val="24"/>
          <w:szCs w:val="24"/>
        </w:rPr>
        <w:t>EE1210</w:t>
      </w:r>
      <w:r w:rsidRPr="00D5386C">
        <w:rPr>
          <w:sz w:val="24"/>
          <w:szCs w:val="24"/>
        </w:rPr>
        <w:t xml:space="preserve">, </w:t>
      </w:r>
      <w:r w:rsidRPr="00D5386C">
        <w:rPr>
          <w:b/>
          <w:bCs/>
          <w:sz w:val="24"/>
          <w:szCs w:val="24"/>
        </w:rPr>
        <w:t>EE1412</w:t>
      </w:r>
      <w:r w:rsidRPr="00D5386C">
        <w:rPr>
          <w:sz w:val="24"/>
          <w:szCs w:val="24"/>
        </w:rPr>
        <w:t xml:space="preserve"> y </w:t>
      </w:r>
      <w:r w:rsidRPr="00D5386C">
        <w:rPr>
          <w:b/>
          <w:bCs/>
          <w:sz w:val="24"/>
          <w:szCs w:val="24"/>
        </w:rPr>
        <w:t>EE1512</w:t>
      </w:r>
      <w:r w:rsidRPr="00D5386C">
        <w:rPr>
          <w:sz w:val="24"/>
          <w:szCs w:val="24"/>
        </w:rPr>
        <w:t xml:space="preserve">, por su </w:t>
      </w:r>
      <w:r w:rsidRPr="00D5386C">
        <w:rPr>
          <w:b/>
          <w:bCs/>
          <w:sz w:val="24"/>
          <w:szCs w:val="24"/>
        </w:rPr>
        <w:t>sistema de accionamiento a cadena</w:t>
      </w:r>
      <w:r w:rsidRPr="00D5386C">
        <w:rPr>
          <w:sz w:val="24"/>
          <w:szCs w:val="24"/>
        </w:rPr>
        <w:t xml:space="preserve">. A diferencia de los otros modelos que utilizan un sistema de empuje con pantalla hidráulica, el modelo </w:t>
      </w:r>
      <w:r w:rsidRPr="00D5386C">
        <w:rPr>
          <w:b/>
          <w:bCs/>
          <w:sz w:val="24"/>
          <w:szCs w:val="24"/>
        </w:rPr>
        <w:t>EE2018</w:t>
      </w:r>
      <w:r w:rsidRPr="00D5386C">
        <w:rPr>
          <w:sz w:val="24"/>
          <w:szCs w:val="24"/>
        </w:rPr>
        <w:t xml:space="preserve"> incorpora un sistema de acarreo que garantiza mayor precisión y eficiencia en el esparcido, optimizando el proceso de fertilización y mejorando los resultados en el campo.</w:t>
      </w:r>
    </w:p>
    <w:p w14:paraId="5724D725" w14:textId="0A3B8208" w:rsidR="00D5386C" w:rsidRPr="00D5386C" w:rsidRDefault="00D5386C" w:rsidP="00D5386C">
      <w:pPr>
        <w:jc w:val="both"/>
        <w:rPr>
          <w:sz w:val="24"/>
          <w:szCs w:val="24"/>
        </w:rPr>
      </w:pPr>
      <w:r w:rsidRPr="00D5386C">
        <w:rPr>
          <w:b/>
          <w:bCs/>
          <w:sz w:val="24"/>
          <w:szCs w:val="24"/>
        </w:rPr>
        <w:t>Características técnicas del EE2018</w:t>
      </w:r>
    </w:p>
    <w:p w14:paraId="3B5E96C2" w14:textId="77777777" w:rsidR="00D5386C" w:rsidRPr="00D5386C" w:rsidRDefault="00D5386C" w:rsidP="00D5386C">
      <w:pPr>
        <w:jc w:val="both"/>
        <w:rPr>
          <w:sz w:val="24"/>
          <w:szCs w:val="24"/>
        </w:rPr>
      </w:pPr>
      <w:r w:rsidRPr="00D5386C">
        <w:rPr>
          <w:sz w:val="24"/>
          <w:szCs w:val="24"/>
        </w:rPr>
        <w:t>El equipo AKRON EE2018 está diseñado para ofrecer rapidez, precisión y fiabilidad en la aplicación de enmiendas orgánicas. Sus características incluyen:</w:t>
      </w:r>
    </w:p>
    <w:p w14:paraId="36CA7508" w14:textId="77777777" w:rsidR="00D5386C" w:rsidRPr="00D5386C" w:rsidRDefault="00D5386C" w:rsidP="00D5386C">
      <w:pPr>
        <w:numPr>
          <w:ilvl w:val="0"/>
          <w:numId w:val="15"/>
        </w:numPr>
        <w:spacing w:line="278" w:lineRule="auto"/>
        <w:jc w:val="both"/>
        <w:rPr>
          <w:sz w:val="24"/>
          <w:szCs w:val="24"/>
        </w:rPr>
      </w:pPr>
      <w:r w:rsidRPr="00D5386C">
        <w:rPr>
          <w:b/>
          <w:bCs/>
          <w:sz w:val="24"/>
          <w:szCs w:val="24"/>
        </w:rPr>
        <w:t>Capacidad volumétrica</w:t>
      </w:r>
      <w:r w:rsidRPr="00D5386C">
        <w:rPr>
          <w:sz w:val="24"/>
          <w:szCs w:val="24"/>
        </w:rPr>
        <w:t>: 18 m³</w:t>
      </w:r>
    </w:p>
    <w:p w14:paraId="0FF8849B" w14:textId="77777777" w:rsidR="00D5386C" w:rsidRPr="00D5386C" w:rsidRDefault="00D5386C" w:rsidP="00D5386C">
      <w:pPr>
        <w:numPr>
          <w:ilvl w:val="0"/>
          <w:numId w:val="15"/>
        </w:numPr>
        <w:spacing w:line="278" w:lineRule="auto"/>
        <w:jc w:val="both"/>
        <w:rPr>
          <w:sz w:val="24"/>
          <w:szCs w:val="24"/>
        </w:rPr>
      </w:pPr>
      <w:r w:rsidRPr="00D5386C">
        <w:rPr>
          <w:b/>
          <w:bCs/>
          <w:sz w:val="24"/>
          <w:szCs w:val="24"/>
        </w:rPr>
        <w:t>Capacidad de carga máxima</w:t>
      </w:r>
      <w:r w:rsidRPr="00D5386C">
        <w:rPr>
          <w:sz w:val="24"/>
          <w:szCs w:val="24"/>
        </w:rPr>
        <w:t>: 20 toneladas</w:t>
      </w:r>
    </w:p>
    <w:p w14:paraId="4C03F9D6" w14:textId="77777777" w:rsidR="00D5386C" w:rsidRPr="00D5386C" w:rsidRDefault="00D5386C" w:rsidP="00D5386C">
      <w:pPr>
        <w:numPr>
          <w:ilvl w:val="0"/>
          <w:numId w:val="15"/>
        </w:numPr>
        <w:spacing w:line="278" w:lineRule="auto"/>
        <w:jc w:val="both"/>
        <w:rPr>
          <w:sz w:val="24"/>
          <w:szCs w:val="24"/>
        </w:rPr>
      </w:pPr>
      <w:r w:rsidRPr="00D5386C">
        <w:rPr>
          <w:b/>
          <w:bCs/>
          <w:sz w:val="24"/>
          <w:szCs w:val="24"/>
        </w:rPr>
        <w:t>Altura de carga con eje balancín</w:t>
      </w:r>
      <w:r w:rsidRPr="00D5386C">
        <w:rPr>
          <w:sz w:val="24"/>
          <w:szCs w:val="24"/>
        </w:rPr>
        <w:t>: 2.500 mm</w:t>
      </w:r>
    </w:p>
    <w:p w14:paraId="4F94642D" w14:textId="77777777" w:rsidR="00D5386C" w:rsidRPr="00D5386C" w:rsidRDefault="00D5386C" w:rsidP="00D5386C">
      <w:pPr>
        <w:numPr>
          <w:ilvl w:val="0"/>
          <w:numId w:val="15"/>
        </w:numPr>
        <w:spacing w:line="278" w:lineRule="auto"/>
        <w:jc w:val="both"/>
        <w:rPr>
          <w:sz w:val="24"/>
          <w:szCs w:val="24"/>
        </w:rPr>
      </w:pPr>
      <w:r w:rsidRPr="00D5386C">
        <w:rPr>
          <w:b/>
          <w:bCs/>
          <w:sz w:val="24"/>
          <w:szCs w:val="24"/>
        </w:rPr>
        <w:t>Neumáticos</w:t>
      </w:r>
      <w:r w:rsidRPr="00D5386C">
        <w:rPr>
          <w:sz w:val="24"/>
          <w:szCs w:val="24"/>
        </w:rPr>
        <w:t>: 600/55-26.5 (balancín)</w:t>
      </w:r>
    </w:p>
    <w:p w14:paraId="0AD3FF99" w14:textId="77777777" w:rsidR="00D5386C" w:rsidRPr="00D5386C" w:rsidRDefault="00D5386C" w:rsidP="00D5386C">
      <w:pPr>
        <w:numPr>
          <w:ilvl w:val="0"/>
          <w:numId w:val="15"/>
        </w:numPr>
        <w:spacing w:line="278" w:lineRule="auto"/>
        <w:jc w:val="both"/>
        <w:rPr>
          <w:sz w:val="24"/>
          <w:szCs w:val="24"/>
        </w:rPr>
      </w:pPr>
      <w:r w:rsidRPr="00D5386C">
        <w:rPr>
          <w:b/>
          <w:bCs/>
          <w:sz w:val="24"/>
          <w:szCs w:val="24"/>
        </w:rPr>
        <w:t>Sistema de accionamiento</w:t>
      </w:r>
      <w:r w:rsidRPr="00D5386C">
        <w:rPr>
          <w:sz w:val="24"/>
          <w:szCs w:val="24"/>
        </w:rPr>
        <w:t>: A cadena</w:t>
      </w:r>
    </w:p>
    <w:p w14:paraId="02013D9E" w14:textId="77777777" w:rsidR="00D5386C" w:rsidRPr="00D5386C" w:rsidRDefault="00D5386C" w:rsidP="00D5386C">
      <w:pPr>
        <w:numPr>
          <w:ilvl w:val="0"/>
          <w:numId w:val="15"/>
        </w:numPr>
        <w:spacing w:line="278" w:lineRule="auto"/>
        <w:jc w:val="both"/>
        <w:rPr>
          <w:sz w:val="24"/>
          <w:szCs w:val="24"/>
        </w:rPr>
      </w:pPr>
      <w:r w:rsidRPr="00D5386C">
        <w:rPr>
          <w:b/>
          <w:bCs/>
          <w:sz w:val="24"/>
          <w:szCs w:val="24"/>
        </w:rPr>
        <w:lastRenderedPageBreak/>
        <w:t>Velocidades de trabajo</w:t>
      </w:r>
      <w:r w:rsidRPr="00D5386C">
        <w:rPr>
          <w:sz w:val="24"/>
          <w:szCs w:val="24"/>
        </w:rPr>
        <w:t>: 1.000 o 540 rpm en los rolos esparcidores</w:t>
      </w:r>
    </w:p>
    <w:p w14:paraId="04A5903F" w14:textId="77777777" w:rsidR="00D5386C" w:rsidRPr="00D5386C" w:rsidRDefault="00D5386C" w:rsidP="00D5386C">
      <w:pPr>
        <w:numPr>
          <w:ilvl w:val="0"/>
          <w:numId w:val="15"/>
        </w:numPr>
        <w:spacing w:line="278" w:lineRule="auto"/>
        <w:jc w:val="both"/>
        <w:rPr>
          <w:sz w:val="24"/>
          <w:szCs w:val="24"/>
        </w:rPr>
      </w:pPr>
      <w:r w:rsidRPr="00D5386C">
        <w:rPr>
          <w:b/>
          <w:bCs/>
          <w:sz w:val="24"/>
          <w:szCs w:val="24"/>
        </w:rPr>
        <w:t>Lanza semirrígida</w:t>
      </w:r>
    </w:p>
    <w:p w14:paraId="5E9B7D0E" w14:textId="77777777" w:rsidR="00D5386C" w:rsidRPr="00D5386C" w:rsidRDefault="00D5386C" w:rsidP="00D5386C">
      <w:pPr>
        <w:numPr>
          <w:ilvl w:val="0"/>
          <w:numId w:val="15"/>
        </w:numPr>
        <w:spacing w:line="278" w:lineRule="auto"/>
        <w:jc w:val="both"/>
        <w:rPr>
          <w:sz w:val="24"/>
          <w:szCs w:val="24"/>
        </w:rPr>
      </w:pPr>
      <w:r w:rsidRPr="00D5386C">
        <w:rPr>
          <w:b/>
          <w:bCs/>
          <w:sz w:val="24"/>
          <w:szCs w:val="24"/>
        </w:rPr>
        <w:t>Potencia mínima requerida</w:t>
      </w:r>
      <w:r w:rsidRPr="00D5386C">
        <w:rPr>
          <w:sz w:val="24"/>
          <w:szCs w:val="24"/>
        </w:rPr>
        <w:t>: 160 HP</w:t>
      </w:r>
    </w:p>
    <w:p w14:paraId="0E196D74" w14:textId="77777777" w:rsidR="00D5386C" w:rsidRPr="00D5386C" w:rsidRDefault="00D5386C" w:rsidP="00D5386C">
      <w:pPr>
        <w:numPr>
          <w:ilvl w:val="0"/>
          <w:numId w:val="15"/>
        </w:numPr>
        <w:spacing w:line="278" w:lineRule="auto"/>
        <w:jc w:val="both"/>
        <w:rPr>
          <w:sz w:val="24"/>
          <w:szCs w:val="24"/>
        </w:rPr>
      </w:pPr>
      <w:r w:rsidRPr="00D5386C">
        <w:rPr>
          <w:b/>
          <w:bCs/>
          <w:sz w:val="24"/>
          <w:szCs w:val="24"/>
        </w:rPr>
        <w:t>Consumo máximo de potencia en toma de fuerza</w:t>
      </w:r>
      <w:r w:rsidRPr="00D5386C">
        <w:rPr>
          <w:sz w:val="24"/>
          <w:szCs w:val="24"/>
        </w:rPr>
        <w:t>: 50 HP</w:t>
      </w:r>
    </w:p>
    <w:p w14:paraId="0088AA80" w14:textId="77777777" w:rsidR="00D5386C" w:rsidRPr="00D5386C" w:rsidRDefault="00D5386C" w:rsidP="00D5386C">
      <w:pPr>
        <w:numPr>
          <w:ilvl w:val="0"/>
          <w:numId w:val="15"/>
        </w:numPr>
        <w:spacing w:line="278" w:lineRule="auto"/>
        <w:jc w:val="both"/>
        <w:rPr>
          <w:sz w:val="24"/>
          <w:szCs w:val="24"/>
        </w:rPr>
      </w:pPr>
      <w:r w:rsidRPr="00D5386C">
        <w:rPr>
          <w:b/>
          <w:bCs/>
          <w:sz w:val="24"/>
          <w:szCs w:val="24"/>
        </w:rPr>
        <w:t>Compuerta interna</w:t>
      </w:r>
      <w:r w:rsidRPr="00D5386C">
        <w:rPr>
          <w:sz w:val="24"/>
          <w:szCs w:val="24"/>
        </w:rPr>
        <w:t>: Elevación y cierre hidráulico regulable a distintas alturas</w:t>
      </w:r>
    </w:p>
    <w:p w14:paraId="16019C30" w14:textId="77777777" w:rsidR="00D5386C" w:rsidRPr="00D5386C" w:rsidRDefault="00D5386C" w:rsidP="00D5386C">
      <w:pPr>
        <w:numPr>
          <w:ilvl w:val="0"/>
          <w:numId w:val="15"/>
        </w:numPr>
        <w:spacing w:line="278" w:lineRule="auto"/>
        <w:jc w:val="both"/>
        <w:rPr>
          <w:sz w:val="24"/>
          <w:szCs w:val="24"/>
        </w:rPr>
      </w:pPr>
      <w:r w:rsidRPr="00D5386C">
        <w:rPr>
          <w:b/>
          <w:bCs/>
          <w:sz w:val="24"/>
          <w:szCs w:val="24"/>
        </w:rPr>
        <w:t>Cadena de alta resistencia</w:t>
      </w:r>
      <w:r w:rsidRPr="00D5386C">
        <w:rPr>
          <w:sz w:val="24"/>
          <w:szCs w:val="24"/>
        </w:rPr>
        <w:t>: Cadena de acero grado 80, con eslabones calibrados y soldaduras de excelente calidad</w:t>
      </w:r>
    </w:p>
    <w:p w14:paraId="56D18CF1" w14:textId="77777777" w:rsidR="00D5386C" w:rsidRPr="00D5386C" w:rsidRDefault="00D5386C" w:rsidP="00D5386C">
      <w:pPr>
        <w:jc w:val="both"/>
        <w:rPr>
          <w:sz w:val="24"/>
          <w:szCs w:val="24"/>
        </w:rPr>
      </w:pPr>
      <w:r w:rsidRPr="00D5386C">
        <w:rPr>
          <w:sz w:val="24"/>
          <w:szCs w:val="24"/>
        </w:rPr>
        <w:t xml:space="preserve">El </w:t>
      </w:r>
      <w:r w:rsidRPr="00D5386C">
        <w:rPr>
          <w:b/>
          <w:bCs/>
          <w:sz w:val="24"/>
          <w:szCs w:val="24"/>
        </w:rPr>
        <w:t>Esparcidor de Enmienda Orgánica AKRON EE2018</w:t>
      </w:r>
      <w:r w:rsidRPr="00D5386C">
        <w:rPr>
          <w:sz w:val="24"/>
          <w:szCs w:val="24"/>
        </w:rPr>
        <w:t xml:space="preserve"> ofrece una operación eficiente, confiable y de largo plazo, con bajo riesgo de ruptura y alta resistencia al desgaste.</w:t>
      </w:r>
    </w:p>
    <w:p w14:paraId="16176696" w14:textId="7B133363" w:rsidR="00D5386C" w:rsidRPr="00D5386C" w:rsidRDefault="004856B9" w:rsidP="00D5386C">
      <w:pPr>
        <w:jc w:val="both"/>
        <w:rPr>
          <w:sz w:val="24"/>
          <w:szCs w:val="24"/>
        </w:rPr>
      </w:pPr>
      <w:r>
        <w:rPr>
          <w:b/>
          <w:bCs/>
          <w:sz w:val="24"/>
          <w:szCs w:val="24"/>
        </w:rPr>
        <w:t xml:space="preserve">Por último, cabe destacar que la empresa cordobesa fue el esparcidor de enmienda oficial de Expoagro 2025 edición YPF Agro. </w:t>
      </w:r>
    </w:p>
    <w:p w14:paraId="07E4854A" w14:textId="26BA2BF9" w:rsidR="000C565C" w:rsidRPr="00D5386C" w:rsidRDefault="000C565C" w:rsidP="00D5386C">
      <w:pPr>
        <w:jc w:val="both"/>
        <w:rPr>
          <w:rFonts w:ascii="Calibri" w:hAnsi="Calibri" w:cs="Calibri"/>
          <w:sz w:val="24"/>
          <w:szCs w:val="24"/>
        </w:rPr>
      </w:pPr>
      <w:r w:rsidRPr="00D5386C">
        <w:rPr>
          <w:rFonts w:ascii="Calibri" w:hAnsi="Calibri" w:cs="Calibri"/>
          <w:sz w:val="24"/>
          <w:szCs w:val="24"/>
        </w:rPr>
        <w:t xml:space="preserve"> </w:t>
      </w:r>
    </w:p>
    <w:sectPr w:rsidR="000C565C" w:rsidRPr="00D5386C" w:rsidSect="00E728E0">
      <w:headerReference w:type="even" r:id="rId7"/>
      <w:headerReference w:type="default" r:id="rId8"/>
      <w:footerReference w:type="even" r:id="rId9"/>
      <w:footerReference w:type="default" r:id="rId10"/>
      <w:headerReference w:type="first" r:id="rId11"/>
      <w:footerReference w:type="first" r:id="rId12"/>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183B2" w14:textId="77777777" w:rsidR="00FC47F3" w:rsidRDefault="00FC47F3" w:rsidP="00E728E0">
      <w:pPr>
        <w:spacing w:after="0" w:line="240" w:lineRule="auto"/>
      </w:pPr>
      <w:r>
        <w:separator/>
      </w:r>
    </w:p>
  </w:endnote>
  <w:endnote w:type="continuationSeparator" w:id="0">
    <w:p w14:paraId="7C41ECE0" w14:textId="77777777" w:rsidR="00FC47F3" w:rsidRDefault="00FC47F3"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2628A" w14:textId="77777777" w:rsidR="00997DED" w:rsidRDefault="00997D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43E05" w14:textId="4C45C2E1" w:rsidR="00E728E0" w:rsidRDefault="00304E8C" w:rsidP="00E728E0">
    <w:pPr>
      <w:pStyle w:val="Piedepgina"/>
      <w:ind w:left="-1701"/>
    </w:pPr>
    <w:r>
      <w:rPr>
        <w:noProof/>
        <w:lang w:eastAsia="es-AR"/>
      </w:rPr>
      <w:drawing>
        <wp:inline distT="0" distB="0" distL="0" distR="0" wp14:anchorId="2B520B5B" wp14:editId="5982DA3B">
          <wp:extent cx="7649627" cy="3471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49627" cy="34712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B97A4" w14:textId="77777777" w:rsidR="00997DED" w:rsidRDefault="00997D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A6EF7" w14:textId="77777777" w:rsidR="00FC47F3" w:rsidRDefault="00FC47F3" w:rsidP="00E728E0">
      <w:pPr>
        <w:spacing w:after="0" w:line="240" w:lineRule="auto"/>
      </w:pPr>
      <w:r>
        <w:separator/>
      </w:r>
    </w:p>
  </w:footnote>
  <w:footnote w:type="continuationSeparator" w:id="0">
    <w:p w14:paraId="30F21B94" w14:textId="77777777" w:rsidR="00FC47F3" w:rsidRDefault="00FC47F3"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CBE8A" w14:textId="77777777" w:rsidR="00997DED" w:rsidRDefault="00997D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9872B" w14:textId="171C1B59" w:rsidR="00E728E0" w:rsidRDefault="00794D9F" w:rsidP="00E728E0">
    <w:pPr>
      <w:pStyle w:val="Encabezado"/>
      <w:ind w:left="-1701"/>
    </w:pPr>
    <w:r>
      <w:rPr>
        <w:noProof/>
        <w:lang w:eastAsia="es-AR"/>
      </w:rPr>
      <w:drawing>
        <wp:inline distT="0" distB="0" distL="0" distR="0" wp14:anchorId="6F3F5373" wp14:editId="30A2E625">
          <wp:extent cx="7647535" cy="1289635"/>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7535" cy="12896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9043B" w14:textId="77777777" w:rsidR="00997DED" w:rsidRDefault="00997D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E05B7"/>
    <w:multiLevelType w:val="multilevel"/>
    <w:tmpl w:val="F0C6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F4029"/>
    <w:multiLevelType w:val="hybridMultilevel"/>
    <w:tmpl w:val="5F4681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E63280D"/>
    <w:multiLevelType w:val="hybridMultilevel"/>
    <w:tmpl w:val="6EBE0C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93665B2"/>
    <w:multiLevelType w:val="multilevel"/>
    <w:tmpl w:val="6C76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5F05B1"/>
    <w:multiLevelType w:val="hybridMultilevel"/>
    <w:tmpl w:val="20104E6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0DB4741"/>
    <w:multiLevelType w:val="hybridMultilevel"/>
    <w:tmpl w:val="90D016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4697567C"/>
    <w:multiLevelType w:val="hybridMultilevel"/>
    <w:tmpl w:val="262230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518D44CF"/>
    <w:multiLevelType w:val="hybridMultilevel"/>
    <w:tmpl w:val="1C241B38"/>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D136440"/>
    <w:multiLevelType w:val="hybridMultilevel"/>
    <w:tmpl w:val="1D4C39E6"/>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9" w15:restartNumberingAfterBreak="0">
    <w:nsid w:val="62F23BFF"/>
    <w:multiLevelType w:val="hybridMultilevel"/>
    <w:tmpl w:val="CC86BA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810772D"/>
    <w:multiLevelType w:val="hybridMultilevel"/>
    <w:tmpl w:val="F0BE6B9A"/>
    <w:lvl w:ilvl="0" w:tplc="2C0A0001">
      <w:start w:val="1"/>
      <w:numFmt w:val="bullet"/>
      <w:lvlText w:val=""/>
      <w:lvlJc w:val="left"/>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BFD0901"/>
    <w:multiLevelType w:val="multilevel"/>
    <w:tmpl w:val="3A8E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C8393D"/>
    <w:multiLevelType w:val="hybridMultilevel"/>
    <w:tmpl w:val="1BC4AB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7C8B359F"/>
    <w:multiLevelType w:val="hybridMultilevel"/>
    <w:tmpl w:val="A45A80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2003310878">
    <w:abstractNumId w:val="7"/>
  </w:num>
  <w:num w:numId="2" w16cid:durableId="51775801">
    <w:abstractNumId w:val="13"/>
  </w:num>
  <w:num w:numId="3" w16cid:durableId="976497753">
    <w:abstractNumId w:val="12"/>
  </w:num>
  <w:num w:numId="4" w16cid:durableId="584849147">
    <w:abstractNumId w:val="9"/>
  </w:num>
  <w:num w:numId="5" w16cid:durableId="7192831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8515255">
    <w:abstractNumId w:val="10"/>
  </w:num>
  <w:num w:numId="7" w16cid:durableId="980576370">
    <w:abstractNumId w:val="1"/>
  </w:num>
  <w:num w:numId="8" w16cid:durableId="675310469">
    <w:abstractNumId w:val="2"/>
  </w:num>
  <w:num w:numId="9" w16cid:durableId="1926259446">
    <w:abstractNumId w:val="6"/>
  </w:num>
  <w:num w:numId="10" w16cid:durableId="618682047">
    <w:abstractNumId w:val="4"/>
  </w:num>
  <w:num w:numId="11" w16cid:durableId="824780176">
    <w:abstractNumId w:val="8"/>
  </w:num>
  <w:num w:numId="12" w16cid:durableId="1176191004">
    <w:abstractNumId w:val="5"/>
  </w:num>
  <w:num w:numId="13" w16cid:durableId="720641289">
    <w:abstractNumId w:val="3"/>
  </w:num>
  <w:num w:numId="14" w16cid:durableId="60835161">
    <w:abstractNumId w:val="0"/>
  </w:num>
  <w:num w:numId="15" w16cid:durableId="16932583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E0"/>
    <w:rsid w:val="00001496"/>
    <w:rsid w:val="0000590F"/>
    <w:rsid w:val="00010699"/>
    <w:rsid w:val="00012DAF"/>
    <w:rsid w:val="00013EEE"/>
    <w:rsid w:val="00015867"/>
    <w:rsid w:val="00021C4C"/>
    <w:rsid w:val="0003177E"/>
    <w:rsid w:val="00032CA0"/>
    <w:rsid w:val="00053F39"/>
    <w:rsid w:val="00057668"/>
    <w:rsid w:val="00065F33"/>
    <w:rsid w:val="00071B57"/>
    <w:rsid w:val="0007328F"/>
    <w:rsid w:val="00074999"/>
    <w:rsid w:val="00076D05"/>
    <w:rsid w:val="00094001"/>
    <w:rsid w:val="000A01E0"/>
    <w:rsid w:val="000A0728"/>
    <w:rsid w:val="000B2F79"/>
    <w:rsid w:val="000B438D"/>
    <w:rsid w:val="000B6F65"/>
    <w:rsid w:val="000C565C"/>
    <w:rsid w:val="000C6FFD"/>
    <w:rsid w:val="000E21F6"/>
    <w:rsid w:val="000F38EC"/>
    <w:rsid w:val="0010006A"/>
    <w:rsid w:val="00102CEB"/>
    <w:rsid w:val="00102D4C"/>
    <w:rsid w:val="001052FC"/>
    <w:rsid w:val="00115FAE"/>
    <w:rsid w:val="00117812"/>
    <w:rsid w:val="00131F84"/>
    <w:rsid w:val="00150815"/>
    <w:rsid w:val="001523E7"/>
    <w:rsid w:val="001552DE"/>
    <w:rsid w:val="00162C90"/>
    <w:rsid w:val="001710C0"/>
    <w:rsid w:val="001869C6"/>
    <w:rsid w:val="001978A2"/>
    <w:rsid w:val="001A4490"/>
    <w:rsid w:val="001A72DA"/>
    <w:rsid w:val="001B3E09"/>
    <w:rsid w:val="001D14BA"/>
    <w:rsid w:val="001D4AD0"/>
    <w:rsid w:val="001E6274"/>
    <w:rsid w:val="001F4E13"/>
    <w:rsid w:val="001F6950"/>
    <w:rsid w:val="001F7421"/>
    <w:rsid w:val="00201D4B"/>
    <w:rsid w:val="002020B5"/>
    <w:rsid w:val="00222E42"/>
    <w:rsid w:val="00223705"/>
    <w:rsid w:val="00236994"/>
    <w:rsid w:val="00244281"/>
    <w:rsid w:val="00250EAE"/>
    <w:rsid w:val="00262926"/>
    <w:rsid w:val="002642A1"/>
    <w:rsid w:val="002664D6"/>
    <w:rsid w:val="00286CB4"/>
    <w:rsid w:val="002930D5"/>
    <w:rsid w:val="002A0A92"/>
    <w:rsid w:val="002C1E8D"/>
    <w:rsid w:val="002C23DC"/>
    <w:rsid w:val="002C4225"/>
    <w:rsid w:val="002C66C2"/>
    <w:rsid w:val="002D1265"/>
    <w:rsid w:val="002D7842"/>
    <w:rsid w:val="002D7D97"/>
    <w:rsid w:val="002E1838"/>
    <w:rsid w:val="002E2906"/>
    <w:rsid w:val="002E387D"/>
    <w:rsid w:val="002E4814"/>
    <w:rsid w:val="002F0B00"/>
    <w:rsid w:val="002F171A"/>
    <w:rsid w:val="002F3F85"/>
    <w:rsid w:val="002F440C"/>
    <w:rsid w:val="00304E8C"/>
    <w:rsid w:val="00305860"/>
    <w:rsid w:val="00306445"/>
    <w:rsid w:val="003066A3"/>
    <w:rsid w:val="0030740D"/>
    <w:rsid w:val="0031206A"/>
    <w:rsid w:val="0031336D"/>
    <w:rsid w:val="003141DB"/>
    <w:rsid w:val="00321BBB"/>
    <w:rsid w:val="00323064"/>
    <w:rsid w:val="003316B0"/>
    <w:rsid w:val="003324BC"/>
    <w:rsid w:val="00336E12"/>
    <w:rsid w:val="00337174"/>
    <w:rsid w:val="003469FF"/>
    <w:rsid w:val="003560A9"/>
    <w:rsid w:val="00365A56"/>
    <w:rsid w:val="003800F5"/>
    <w:rsid w:val="00385F1A"/>
    <w:rsid w:val="0039301D"/>
    <w:rsid w:val="0039686D"/>
    <w:rsid w:val="003A0886"/>
    <w:rsid w:val="003A0DAF"/>
    <w:rsid w:val="003A3E8D"/>
    <w:rsid w:val="003B18BC"/>
    <w:rsid w:val="003B50BC"/>
    <w:rsid w:val="003B54F8"/>
    <w:rsid w:val="003C0FDC"/>
    <w:rsid w:val="003C22D7"/>
    <w:rsid w:val="003D1938"/>
    <w:rsid w:val="003D4E31"/>
    <w:rsid w:val="003D5D92"/>
    <w:rsid w:val="003F501E"/>
    <w:rsid w:val="003F64C7"/>
    <w:rsid w:val="004209A0"/>
    <w:rsid w:val="0042338E"/>
    <w:rsid w:val="004366BA"/>
    <w:rsid w:val="00437851"/>
    <w:rsid w:val="00437F88"/>
    <w:rsid w:val="00440E14"/>
    <w:rsid w:val="00444022"/>
    <w:rsid w:val="00455E43"/>
    <w:rsid w:val="00456611"/>
    <w:rsid w:val="00461329"/>
    <w:rsid w:val="0046358C"/>
    <w:rsid w:val="004723EE"/>
    <w:rsid w:val="004822F5"/>
    <w:rsid w:val="004856B9"/>
    <w:rsid w:val="00493943"/>
    <w:rsid w:val="0049756C"/>
    <w:rsid w:val="004B319B"/>
    <w:rsid w:val="004C2B0D"/>
    <w:rsid w:val="004C39D3"/>
    <w:rsid w:val="004C7742"/>
    <w:rsid w:val="004D0B81"/>
    <w:rsid w:val="004D1645"/>
    <w:rsid w:val="004D471B"/>
    <w:rsid w:val="0050052A"/>
    <w:rsid w:val="005042AF"/>
    <w:rsid w:val="00505C15"/>
    <w:rsid w:val="005166B4"/>
    <w:rsid w:val="005174FF"/>
    <w:rsid w:val="005218AA"/>
    <w:rsid w:val="00521E70"/>
    <w:rsid w:val="00524AB9"/>
    <w:rsid w:val="00525608"/>
    <w:rsid w:val="00526669"/>
    <w:rsid w:val="0053474D"/>
    <w:rsid w:val="00536258"/>
    <w:rsid w:val="005362AF"/>
    <w:rsid w:val="0055046E"/>
    <w:rsid w:val="00556DBE"/>
    <w:rsid w:val="0055763A"/>
    <w:rsid w:val="00580F0D"/>
    <w:rsid w:val="005843BE"/>
    <w:rsid w:val="0058631F"/>
    <w:rsid w:val="005A07C8"/>
    <w:rsid w:val="005A6290"/>
    <w:rsid w:val="005B04DE"/>
    <w:rsid w:val="005C65AF"/>
    <w:rsid w:val="005E255A"/>
    <w:rsid w:val="005F771C"/>
    <w:rsid w:val="0060050F"/>
    <w:rsid w:val="00606A7D"/>
    <w:rsid w:val="00621D90"/>
    <w:rsid w:val="00622BCF"/>
    <w:rsid w:val="00624B3F"/>
    <w:rsid w:val="00625DD3"/>
    <w:rsid w:val="00632F31"/>
    <w:rsid w:val="00634584"/>
    <w:rsid w:val="00641EC9"/>
    <w:rsid w:val="006452E5"/>
    <w:rsid w:val="0065522B"/>
    <w:rsid w:val="00660EC4"/>
    <w:rsid w:val="006627C3"/>
    <w:rsid w:val="00663011"/>
    <w:rsid w:val="00675310"/>
    <w:rsid w:val="00676516"/>
    <w:rsid w:val="00677116"/>
    <w:rsid w:val="00683943"/>
    <w:rsid w:val="0069086B"/>
    <w:rsid w:val="00694F8A"/>
    <w:rsid w:val="00697E80"/>
    <w:rsid w:val="006A738B"/>
    <w:rsid w:val="006B2CCA"/>
    <w:rsid w:val="006B7510"/>
    <w:rsid w:val="006C322B"/>
    <w:rsid w:val="006C4A57"/>
    <w:rsid w:val="006D02DB"/>
    <w:rsid w:val="006D527F"/>
    <w:rsid w:val="006E19C5"/>
    <w:rsid w:val="006E452E"/>
    <w:rsid w:val="006F1EAE"/>
    <w:rsid w:val="00712470"/>
    <w:rsid w:val="00727086"/>
    <w:rsid w:val="00731A0B"/>
    <w:rsid w:val="00734919"/>
    <w:rsid w:val="0074469F"/>
    <w:rsid w:val="00750498"/>
    <w:rsid w:val="007551D0"/>
    <w:rsid w:val="00756232"/>
    <w:rsid w:val="007645C9"/>
    <w:rsid w:val="00766C38"/>
    <w:rsid w:val="0076770A"/>
    <w:rsid w:val="00770CF7"/>
    <w:rsid w:val="007800D2"/>
    <w:rsid w:val="0078459D"/>
    <w:rsid w:val="007908A4"/>
    <w:rsid w:val="00792967"/>
    <w:rsid w:val="00792F84"/>
    <w:rsid w:val="00794D9F"/>
    <w:rsid w:val="00796F32"/>
    <w:rsid w:val="007B2BC4"/>
    <w:rsid w:val="007B7653"/>
    <w:rsid w:val="007C4F0D"/>
    <w:rsid w:val="007D35F8"/>
    <w:rsid w:val="007D71FA"/>
    <w:rsid w:val="007E3B2A"/>
    <w:rsid w:val="007E46F8"/>
    <w:rsid w:val="007E548E"/>
    <w:rsid w:val="007E5D67"/>
    <w:rsid w:val="007F16AD"/>
    <w:rsid w:val="007F5EAC"/>
    <w:rsid w:val="007F6FE1"/>
    <w:rsid w:val="00800285"/>
    <w:rsid w:val="008144CB"/>
    <w:rsid w:val="0082159B"/>
    <w:rsid w:val="00821740"/>
    <w:rsid w:val="0082578B"/>
    <w:rsid w:val="00832FDC"/>
    <w:rsid w:val="00835246"/>
    <w:rsid w:val="00843E93"/>
    <w:rsid w:val="008500B2"/>
    <w:rsid w:val="00850485"/>
    <w:rsid w:val="0085148C"/>
    <w:rsid w:val="008527FA"/>
    <w:rsid w:val="00863BAB"/>
    <w:rsid w:val="00873067"/>
    <w:rsid w:val="00895F2E"/>
    <w:rsid w:val="00896FC3"/>
    <w:rsid w:val="008979AB"/>
    <w:rsid w:val="008A01BB"/>
    <w:rsid w:val="008A4143"/>
    <w:rsid w:val="008B05DB"/>
    <w:rsid w:val="008B51CC"/>
    <w:rsid w:val="008B5F6D"/>
    <w:rsid w:val="008B6C28"/>
    <w:rsid w:val="008B7CB2"/>
    <w:rsid w:val="008C53BF"/>
    <w:rsid w:val="008D3A88"/>
    <w:rsid w:val="008D7D65"/>
    <w:rsid w:val="008E1799"/>
    <w:rsid w:val="008E2ABE"/>
    <w:rsid w:val="008F26D1"/>
    <w:rsid w:val="008F37EA"/>
    <w:rsid w:val="00901D47"/>
    <w:rsid w:val="00905F30"/>
    <w:rsid w:val="00906D6A"/>
    <w:rsid w:val="00914625"/>
    <w:rsid w:val="0092328A"/>
    <w:rsid w:val="00932FD4"/>
    <w:rsid w:val="00944138"/>
    <w:rsid w:val="0095381A"/>
    <w:rsid w:val="00963E1E"/>
    <w:rsid w:val="00971D63"/>
    <w:rsid w:val="00974008"/>
    <w:rsid w:val="009761A9"/>
    <w:rsid w:val="009775CB"/>
    <w:rsid w:val="00980F12"/>
    <w:rsid w:val="00982226"/>
    <w:rsid w:val="00983057"/>
    <w:rsid w:val="00983D24"/>
    <w:rsid w:val="009944D1"/>
    <w:rsid w:val="009962DB"/>
    <w:rsid w:val="00997DED"/>
    <w:rsid w:val="00997F40"/>
    <w:rsid w:val="009A266C"/>
    <w:rsid w:val="009B2594"/>
    <w:rsid w:val="009B71ED"/>
    <w:rsid w:val="009C4BD7"/>
    <w:rsid w:val="009D2728"/>
    <w:rsid w:val="009E371E"/>
    <w:rsid w:val="009E6D2A"/>
    <w:rsid w:val="009E785C"/>
    <w:rsid w:val="009F5791"/>
    <w:rsid w:val="009F5F6A"/>
    <w:rsid w:val="00A00615"/>
    <w:rsid w:val="00A06C1F"/>
    <w:rsid w:val="00A11FB9"/>
    <w:rsid w:val="00A14CED"/>
    <w:rsid w:val="00A52C59"/>
    <w:rsid w:val="00A54310"/>
    <w:rsid w:val="00A54895"/>
    <w:rsid w:val="00A559D4"/>
    <w:rsid w:val="00A63244"/>
    <w:rsid w:val="00A650F7"/>
    <w:rsid w:val="00A65E2E"/>
    <w:rsid w:val="00A67DE7"/>
    <w:rsid w:val="00A715CA"/>
    <w:rsid w:val="00A756A2"/>
    <w:rsid w:val="00A767C0"/>
    <w:rsid w:val="00A907FA"/>
    <w:rsid w:val="00AA2275"/>
    <w:rsid w:val="00AA7BB0"/>
    <w:rsid w:val="00AB3CDA"/>
    <w:rsid w:val="00AB6CAC"/>
    <w:rsid w:val="00AC0F1A"/>
    <w:rsid w:val="00AC1AC1"/>
    <w:rsid w:val="00AC67E7"/>
    <w:rsid w:val="00AD031B"/>
    <w:rsid w:val="00AD73B0"/>
    <w:rsid w:val="00AD75AB"/>
    <w:rsid w:val="00AD7DFB"/>
    <w:rsid w:val="00AF65AD"/>
    <w:rsid w:val="00B2094C"/>
    <w:rsid w:val="00B375EC"/>
    <w:rsid w:val="00B4316F"/>
    <w:rsid w:val="00B5397F"/>
    <w:rsid w:val="00B64FA6"/>
    <w:rsid w:val="00B664E0"/>
    <w:rsid w:val="00B66707"/>
    <w:rsid w:val="00B71B15"/>
    <w:rsid w:val="00B80E83"/>
    <w:rsid w:val="00B83E1B"/>
    <w:rsid w:val="00B91344"/>
    <w:rsid w:val="00B91CBD"/>
    <w:rsid w:val="00B93022"/>
    <w:rsid w:val="00B951ED"/>
    <w:rsid w:val="00BA18A6"/>
    <w:rsid w:val="00BB35F0"/>
    <w:rsid w:val="00BB46FA"/>
    <w:rsid w:val="00BD1F4C"/>
    <w:rsid w:val="00BD34C6"/>
    <w:rsid w:val="00BD56BA"/>
    <w:rsid w:val="00BD5B7D"/>
    <w:rsid w:val="00BD6EE2"/>
    <w:rsid w:val="00BE1194"/>
    <w:rsid w:val="00BE21DE"/>
    <w:rsid w:val="00BF05B6"/>
    <w:rsid w:val="00BF64D9"/>
    <w:rsid w:val="00C201D6"/>
    <w:rsid w:val="00C2252D"/>
    <w:rsid w:val="00C31B1F"/>
    <w:rsid w:val="00C32E26"/>
    <w:rsid w:val="00C42B2E"/>
    <w:rsid w:val="00C4786A"/>
    <w:rsid w:val="00C6423D"/>
    <w:rsid w:val="00C64966"/>
    <w:rsid w:val="00C93348"/>
    <w:rsid w:val="00C97860"/>
    <w:rsid w:val="00CA0DBC"/>
    <w:rsid w:val="00CA33D8"/>
    <w:rsid w:val="00CB0712"/>
    <w:rsid w:val="00CD4AE4"/>
    <w:rsid w:val="00CE44F2"/>
    <w:rsid w:val="00CE4BC7"/>
    <w:rsid w:val="00CF2C73"/>
    <w:rsid w:val="00D00822"/>
    <w:rsid w:val="00D02C37"/>
    <w:rsid w:val="00D03305"/>
    <w:rsid w:val="00D07499"/>
    <w:rsid w:val="00D13CCC"/>
    <w:rsid w:val="00D17DDC"/>
    <w:rsid w:val="00D20EA3"/>
    <w:rsid w:val="00D2522C"/>
    <w:rsid w:val="00D327A6"/>
    <w:rsid w:val="00D472CE"/>
    <w:rsid w:val="00D5327C"/>
    <w:rsid w:val="00D5386C"/>
    <w:rsid w:val="00D55E81"/>
    <w:rsid w:val="00D568EF"/>
    <w:rsid w:val="00D603CC"/>
    <w:rsid w:val="00D61625"/>
    <w:rsid w:val="00D641A1"/>
    <w:rsid w:val="00D663AB"/>
    <w:rsid w:val="00D66A17"/>
    <w:rsid w:val="00D74BEA"/>
    <w:rsid w:val="00D74CA8"/>
    <w:rsid w:val="00D80A7D"/>
    <w:rsid w:val="00D83D2E"/>
    <w:rsid w:val="00D85507"/>
    <w:rsid w:val="00D903B6"/>
    <w:rsid w:val="00D94BC2"/>
    <w:rsid w:val="00DA5E76"/>
    <w:rsid w:val="00DB5072"/>
    <w:rsid w:val="00DB7D25"/>
    <w:rsid w:val="00DD774B"/>
    <w:rsid w:val="00DE1371"/>
    <w:rsid w:val="00DE208E"/>
    <w:rsid w:val="00DF3A4A"/>
    <w:rsid w:val="00DF5507"/>
    <w:rsid w:val="00DF664B"/>
    <w:rsid w:val="00E02A40"/>
    <w:rsid w:val="00E15152"/>
    <w:rsid w:val="00E1701A"/>
    <w:rsid w:val="00E2207B"/>
    <w:rsid w:val="00E41872"/>
    <w:rsid w:val="00E51A09"/>
    <w:rsid w:val="00E52964"/>
    <w:rsid w:val="00E55DCC"/>
    <w:rsid w:val="00E630D0"/>
    <w:rsid w:val="00E64087"/>
    <w:rsid w:val="00E651F3"/>
    <w:rsid w:val="00E670A8"/>
    <w:rsid w:val="00E728E0"/>
    <w:rsid w:val="00E7315D"/>
    <w:rsid w:val="00E75679"/>
    <w:rsid w:val="00E81A8B"/>
    <w:rsid w:val="00E84BA8"/>
    <w:rsid w:val="00E852DB"/>
    <w:rsid w:val="00E92642"/>
    <w:rsid w:val="00EA6284"/>
    <w:rsid w:val="00EB3FD9"/>
    <w:rsid w:val="00EC3F84"/>
    <w:rsid w:val="00EC529F"/>
    <w:rsid w:val="00EC7869"/>
    <w:rsid w:val="00ED36B6"/>
    <w:rsid w:val="00ED494D"/>
    <w:rsid w:val="00EE0431"/>
    <w:rsid w:val="00EE1985"/>
    <w:rsid w:val="00EE3A33"/>
    <w:rsid w:val="00EE518C"/>
    <w:rsid w:val="00EE74EB"/>
    <w:rsid w:val="00EE77A1"/>
    <w:rsid w:val="00EF58D4"/>
    <w:rsid w:val="00F126C9"/>
    <w:rsid w:val="00F13CCA"/>
    <w:rsid w:val="00F14359"/>
    <w:rsid w:val="00F1598E"/>
    <w:rsid w:val="00F21FA1"/>
    <w:rsid w:val="00F235D0"/>
    <w:rsid w:val="00F24B1D"/>
    <w:rsid w:val="00F2745F"/>
    <w:rsid w:val="00F33289"/>
    <w:rsid w:val="00F345F1"/>
    <w:rsid w:val="00F4296E"/>
    <w:rsid w:val="00F52A8F"/>
    <w:rsid w:val="00F53DA1"/>
    <w:rsid w:val="00F6180D"/>
    <w:rsid w:val="00F76EA9"/>
    <w:rsid w:val="00F84CD6"/>
    <w:rsid w:val="00F90539"/>
    <w:rsid w:val="00F958AB"/>
    <w:rsid w:val="00F962A0"/>
    <w:rsid w:val="00FA2D78"/>
    <w:rsid w:val="00FA474A"/>
    <w:rsid w:val="00FC0E05"/>
    <w:rsid w:val="00FC2E27"/>
    <w:rsid w:val="00FC47F3"/>
    <w:rsid w:val="00FC7ECB"/>
    <w:rsid w:val="00FE45EE"/>
    <w:rsid w:val="00FE72F3"/>
    <w:rsid w:val="00FF0C36"/>
    <w:rsid w:val="00FF2F2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C56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951ED"/>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2664D6"/>
    <w:pPr>
      <w:ind w:left="720"/>
      <w:contextualSpacing/>
    </w:pPr>
    <w:rPr>
      <w:rFonts w:ascii="Calibri" w:eastAsia="Calibri" w:hAnsi="Calibri" w:cs="Calibri"/>
      <w:lang w:eastAsia="es-AR"/>
    </w:rPr>
  </w:style>
  <w:style w:type="paragraph" w:customStyle="1" w:styleId="paragraph">
    <w:name w:val="paragraph"/>
    <w:basedOn w:val="Normal"/>
    <w:rsid w:val="005362A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normaltextrun">
    <w:name w:val="normaltextrun"/>
    <w:basedOn w:val="Fuentedeprrafopredeter"/>
    <w:rsid w:val="005362AF"/>
  </w:style>
  <w:style w:type="character" w:customStyle="1" w:styleId="eop">
    <w:name w:val="eop"/>
    <w:basedOn w:val="Fuentedeprrafopredeter"/>
    <w:rsid w:val="005362AF"/>
  </w:style>
  <w:style w:type="character" w:customStyle="1" w:styleId="Ttulo2Car">
    <w:name w:val="Título 2 Car"/>
    <w:basedOn w:val="Fuentedeprrafopredeter"/>
    <w:link w:val="Ttulo2"/>
    <w:uiPriority w:val="9"/>
    <w:rsid w:val="00B951ED"/>
    <w:rPr>
      <w:rFonts w:asciiTheme="majorHAnsi" w:eastAsiaTheme="majorEastAsia" w:hAnsiTheme="majorHAnsi" w:cstheme="majorBidi"/>
      <w:color w:val="2E74B5" w:themeColor="accent1" w:themeShade="BF"/>
      <w:sz w:val="26"/>
      <w:szCs w:val="26"/>
      <w:lang w:eastAsia="es-AR"/>
    </w:rPr>
  </w:style>
  <w:style w:type="paragraph" w:customStyle="1" w:styleId="xmsonormal">
    <w:name w:val="x_msonormal"/>
    <w:basedOn w:val="Normal"/>
    <w:rsid w:val="00B951ED"/>
    <w:pPr>
      <w:spacing w:after="0" w:line="240" w:lineRule="auto"/>
    </w:pPr>
    <w:rPr>
      <w:rFonts w:ascii="Calibri" w:hAnsi="Calibri" w:cs="Calibri"/>
      <w:lang w:eastAsia="es-AR"/>
    </w:rPr>
  </w:style>
  <w:style w:type="character" w:customStyle="1" w:styleId="contentpasted0">
    <w:name w:val="contentpasted0"/>
    <w:basedOn w:val="Fuentedeprrafopredeter"/>
    <w:rsid w:val="00B951ED"/>
  </w:style>
  <w:style w:type="character" w:styleId="Hipervnculo">
    <w:name w:val="Hyperlink"/>
    <w:basedOn w:val="Fuentedeprrafopredeter"/>
    <w:uiPriority w:val="99"/>
    <w:unhideWhenUsed/>
    <w:rsid w:val="00B951ED"/>
    <w:rPr>
      <w:color w:val="0563C1" w:themeColor="hyperlink"/>
      <w:u w:val="single"/>
    </w:rPr>
  </w:style>
  <w:style w:type="character" w:styleId="Mencinsinresolver">
    <w:name w:val="Unresolved Mention"/>
    <w:basedOn w:val="Fuentedeprrafopredeter"/>
    <w:uiPriority w:val="99"/>
    <w:semiHidden/>
    <w:unhideWhenUsed/>
    <w:rsid w:val="00A756A2"/>
    <w:rPr>
      <w:color w:val="605E5C"/>
      <w:shd w:val="clear" w:color="auto" w:fill="E1DFDD"/>
    </w:rPr>
  </w:style>
  <w:style w:type="table" w:styleId="Tablaconcuadrcula">
    <w:name w:val="Table Grid"/>
    <w:basedOn w:val="Tablanormal"/>
    <w:uiPriority w:val="39"/>
    <w:unhideWhenUsed/>
    <w:rsid w:val="00800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296E"/>
    <w:pPr>
      <w:autoSpaceDE w:val="0"/>
      <w:autoSpaceDN w:val="0"/>
      <w:adjustRightInd w:val="0"/>
      <w:spacing w:after="0" w:line="240" w:lineRule="auto"/>
    </w:pPr>
    <w:rPr>
      <w:rFonts w:ascii="Calibri" w:hAnsi="Calibri" w:cs="Calibri"/>
      <w:color w:val="000000"/>
      <w:sz w:val="24"/>
      <w:szCs w:val="24"/>
    </w:rPr>
  </w:style>
  <w:style w:type="character" w:customStyle="1" w:styleId="Ttulo1Car">
    <w:name w:val="Título 1 Car"/>
    <w:basedOn w:val="Fuentedeprrafopredeter"/>
    <w:link w:val="Ttulo1"/>
    <w:uiPriority w:val="9"/>
    <w:rsid w:val="000C565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84931">
      <w:bodyDiv w:val="1"/>
      <w:marLeft w:val="0"/>
      <w:marRight w:val="0"/>
      <w:marTop w:val="0"/>
      <w:marBottom w:val="0"/>
      <w:divBdr>
        <w:top w:val="none" w:sz="0" w:space="0" w:color="auto"/>
        <w:left w:val="none" w:sz="0" w:space="0" w:color="auto"/>
        <w:bottom w:val="none" w:sz="0" w:space="0" w:color="auto"/>
        <w:right w:val="none" w:sz="0" w:space="0" w:color="auto"/>
      </w:divBdr>
    </w:div>
    <w:div w:id="92750805">
      <w:bodyDiv w:val="1"/>
      <w:marLeft w:val="0"/>
      <w:marRight w:val="0"/>
      <w:marTop w:val="0"/>
      <w:marBottom w:val="0"/>
      <w:divBdr>
        <w:top w:val="none" w:sz="0" w:space="0" w:color="auto"/>
        <w:left w:val="none" w:sz="0" w:space="0" w:color="auto"/>
        <w:bottom w:val="none" w:sz="0" w:space="0" w:color="auto"/>
        <w:right w:val="none" w:sz="0" w:space="0" w:color="auto"/>
      </w:divBdr>
    </w:div>
    <w:div w:id="159587313">
      <w:bodyDiv w:val="1"/>
      <w:marLeft w:val="0"/>
      <w:marRight w:val="0"/>
      <w:marTop w:val="0"/>
      <w:marBottom w:val="0"/>
      <w:divBdr>
        <w:top w:val="none" w:sz="0" w:space="0" w:color="auto"/>
        <w:left w:val="none" w:sz="0" w:space="0" w:color="auto"/>
        <w:bottom w:val="none" w:sz="0" w:space="0" w:color="auto"/>
        <w:right w:val="none" w:sz="0" w:space="0" w:color="auto"/>
      </w:divBdr>
    </w:div>
    <w:div w:id="174082162">
      <w:bodyDiv w:val="1"/>
      <w:marLeft w:val="0"/>
      <w:marRight w:val="0"/>
      <w:marTop w:val="0"/>
      <w:marBottom w:val="0"/>
      <w:divBdr>
        <w:top w:val="none" w:sz="0" w:space="0" w:color="auto"/>
        <w:left w:val="none" w:sz="0" w:space="0" w:color="auto"/>
        <w:bottom w:val="none" w:sz="0" w:space="0" w:color="auto"/>
        <w:right w:val="none" w:sz="0" w:space="0" w:color="auto"/>
      </w:divBdr>
    </w:div>
    <w:div w:id="200096329">
      <w:bodyDiv w:val="1"/>
      <w:marLeft w:val="0"/>
      <w:marRight w:val="0"/>
      <w:marTop w:val="0"/>
      <w:marBottom w:val="0"/>
      <w:divBdr>
        <w:top w:val="none" w:sz="0" w:space="0" w:color="auto"/>
        <w:left w:val="none" w:sz="0" w:space="0" w:color="auto"/>
        <w:bottom w:val="none" w:sz="0" w:space="0" w:color="auto"/>
        <w:right w:val="none" w:sz="0" w:space="0" w:color="auto"/>
      </w:divBdr>
    </w:div>
    <w:div w:id="305938157">
      <w:bodyDiv w:val="1"/>
      <w:marLeft w:val="0"/>
      <w:marRight w:val="0"/>
      <w:marTop w:val="0"/>
      <w:marBottom w:val="0"/>
      <w:divBdr>
        <w:top w:val="none" w:sz="0" w:space="0" w:color="auto"/>
        <w:left w:val="none" w:sz="0" w:space="0" w:color="auto"/>
        <w:bottom w:val="none" w:sz="0" w:space="0" w:color="auto"/>
        <w:right w:val="none" w:sz="0" w:space="0" w:color="auto"/>
      </w:divBdr>
    </w:div>
    <w:div w:id="467209125">
      <w:bodyDiv w:val="1"/>
      <w:marLeft w:val="0"/>
      <w:marRight w:val="0"/>
      <w:marTop w:val="0"/>
      <w:marBottom w:val="0"/>
      <w:divBdr>
        <w:top w:val="none" w:sz="0" w:space="0" w:color="auto"/>
        <w:left w:val="none" w:sz="0" w:space="0" w:color="auto"/>
        <w:bottom w:val="none" w:sz="0" w:space="0" w:color="auto"/>
        <w:right w:val="none" w:sz="0" w:space="0" w:color="auto"/>
      </w:divBdr>
    </w:div>
    <w:div w:id="515582946">
      <w:bodyDiv w:val="1"/>
      <w:marLeft w:val="0"/>
      <w:marRight w:val="0"/>
      <w:marTop w:val="0"/>
      <w:marBottom w:val="0"/>
      <w:divBdr>
        <w:top w:val="none" w:sz="0" w:space="0" w:color="auto"/>
        <w:left w:val="none" w:sz="0" w:space="0" w:color="auto"/>
        <w:bottom w:val="none" w:sz="0" w:space="0" w:color="auto"/>
        <w:right w:val="none" w:sz="0" w:space="0" w:color="auto"/>
      </w:divBdr>
    </w:div>
    <w:div w:id="1100683624">
      <w:bodyDiv w:val="1"/>
      <w:marLeft w:val="0"/>
      <w:marRight w:val="0"/>
      <w:marTop w:val="0"/>
      <w:marBottom w:val="0"/>
      <w:divBdr>
        <w:top w:val="none" w:sz="0" w:space="0" w:color="auto"/>
        <w:left w:val="none" w:sz="0" w:space="0" w:color="auto"/>
        <w:bottom w:val="none" w:sz="0" w:space="0" w:color="auto"/>
        <w:right w:val="none" w:sz="0" w:space="0" w:color="auto"/>
      </w:divBdr>
    </w:div>
    <w:div w:id="1217666321">
      <w:bodyDiv w:val="1"/>
      <w:marLeft w:val="0"/>
      <w:marRight w:val="0"/>
      <w:marTop w:val="0"/>
      <w:marBottom w:val="0"/>
      <w:divBdr>
        <w:top w:val="none" w:sz="0" w:space="0" w:color="auto"/>
        <w:left w:val="none" w:sz="0" w:space="0" w:color="auto"/>
        <w:bottom w:val="none" w:sz="0" w:space="0" w:color="auto"/>
        <w:right w:val="none" w:sz="0" w:space="0" w:color="auto"/>
      </w:divBdr>
    </w:div>
    <w:div w:id="1367674950">
      <w:bodyDiv w:val="1"/>
      <w:marLeft w:val="0"/>
      <w:marRight w:val="0"/>
      <w:marTop w:val="0"/>
      <w:marBottom w:val="0"/>
      <w:divBdr>
        <w:top w:val="none" w:sz="0" w:space="0" w:color="auto"/>
        <w:left w:val="none" w:sz="0" w:space="0" w:color="auto"/>
        <w:bottom w:val="none" w:sz="0" w:space="0" w:color="auto"/>
        <w:right w:val="none" w:sz="0" w:space="0" w:color="auto"/>
      </w:divBdr>
    </w:div>
    <w:div w:id="1516646905">
      <w:bodyDiv w:val="1"/>
      <w:marLeft w:val="0"/>
      <w:marRight w:val="0"/>
      <w:marTop w:val="0"/>
      <w:marBottom w:val="0"/>
      <w:divBdr>
        <w:top w:val="none" w:sz="0" w:space="0" w:color="auto"/>
        <w:left w:val="none" w:sz="0" w:space="0" w:color="auto"/>
        <w:bottom w:val="none" w:sz="0" w:space="0" w:color="auto"/>
        <w:right w:val="none" w:sz="0" w:space="0" w:color="auto"/>
      </w:divBdr>
    </w:div>
    <w:div w:id="1660617554">
      <w:bodyDiv w:val="1"/>
      <w:marLeft w:val="0"/>
      <w:marRight w:val="0"/>
      <w:marTop w:val="0"/>
      <w:marBottom w:val="0"/>
      <w:divBdr>
        <w:top w:val="none" w:sz="0" w:space="0" w:color="auto"/>
        <w:left w:val="none" w:sz="0" w:space="0" w:color="auto"/>
        <w:bottom w:val="none" w:sz="0" w:space="0" w:color="auto"/>
        <w:right w:val="none" w:sz="0" w:space="0" w:color="auto"/>
      </w:divBdr>
    </w:div>
    <w:div w:id="1696036358">
      <w:bodyDiv w:val="1"/>
      <w:marLeft w:val="0"/>
      <w:marRight w:val="0"/>
      <w:marTop w:val="0"/>
      <w:marBottom w:val="0"/>
      <w:divBdr>
        <w:top w:val="none" w:sz="0" w:space="0" w:color="auto"/>
        <w:left w:val="none" w:sz="0" w:space="0" w:color="auto"/>
        <w:bottom w:val="none" w:sz="0" w:space="0" w:color="auto"/>
        <w:right w:val="none" w:sz="0" w:space="0" w:color="auto"/>
      </w:divBdr>
    </w:div>
    <w:div w:id="1754231032">
      <w:bodyDiv w:val="1"/>
      <w:marLeft w:val="0"/>
      <w:marRight w:val="0"/>
      <w:marTop w:val="0"/>
      <w:marBottom w:val="0"/>
      <w:divBdr>
        <w:top w:val="none" w:sz="0" w:space="0" w:color="auto"/>
        <w:left w:val="none" w:sz="0" w:space="0" w:color="auto"/>
        <w:bottom w:val="none" w:sz="0" w:space="0" w:color="auto"/>
        <w:right w:val="none" w:sz="0" w:space="0" w:color="auto"/>
      </w:divBdr>
    </w:div>
    <w:div w:id="1758011844">
      <w:bodyDiv w:val="1"/>
      <w:marLeft w:val="0"/>
      <w:marRight w:val="0"/>
      <w:marTop w:val="0"/>
      <w:marBottom w:val="0"/>
      <w:divBdr>
        <w:top w:val="none" w:sz="0" w:space="0" w:color="auto"/>
        <w:left w:val="none" w:sz="0" w:space="0" w:color="auto"/>
        <w:bottom w:val="none" w:sz="0" w:space="0" w:color="auto"/>
        <w:right w:val="none" w:sz="0" w:space="0" w:color="auto"/>
      </w:divBdr>
    </w:div>
    <w:div w:id="1949658726">
      <w:bodyDiv w:val="1"/>
      <w:marLeft w:val="0"/>
      <w:marRight w:val="0"/>
      <w:marTop w:val="0"/>
      <w:marBottom w:val="0"/>
      <w:divBdr>
        <w:top w:val="none" w:sz="0" w:space="0" w:color="auto"/>
        <w:left w:val="none" w:sz="0" w:space="0" w:color="auto"/>
        <w:bottom w:val="none" w:sz="0" w:space="0" w:color="auto"/>
        <w:right w:val="none" w:sz="0" w:space="0" w:color="auto"/>
      </w:divBdr>
    </w:div>
    <w:div w:id="1973512984">
      <w:bodyDiv w:val="1"/>
      <w:marLeft w:val="0"/>
      <w:marRight w:val="0"/>
      <w:marTop w:val="0"/>
      <w:marBottom w:val="0"/>
      <w:divBdr>
        <w:top w:val="none" w:sz="0" w:space="0" w:color="auto"/>
        <w:left w:val="none" w:sz="0" w:space="0" w:color="auto"/>
        <w:bottom w:val="none" w:sz="0" w:space="0" w:color="auto"/>
        <w:right w:val="none" w:sz="0" w:space="0" w:color="auto"/>
      </w:divBdr>
    </w:div>
    <w:div w:id="2037387248">
      <w:bodyDiv w:val="1"/>
      <w:marLeft w:val="0"/>
      <w:marRight w:val="0"/>
      <w:marTop w:val="0"/>
      <w:marBottom w:val="0"/>
      <w:divBdr>
        <w:top w:val="none" w:sz="0" w:space="0" w:color="auto"/>
        <w:left w:val="none" w:sz="0" w:space="0" w:color="auto"/>
        <w:bottom w:val="none" w:sz="0" w:space="0" w:color="auto"/>
        <w:right w:val="none" w:sz="0" w:space="0" w:color="auto"/>
      </w:divBdr>
    </w:div>
    <w:div w:id="2043020246">
      <w:bodyDiv w:val="1"/>
      <w:marLeft w:val="0"/>
      <w:marRight w:val="0"/>
      <w:marTop w:val="0"/>
      <w:marBottom w:val="0"/>
      <w:divBdr>
        <w:top w:val="none" w:sz="0" w:space="0" w:color="auto"/>
        <w:left w:val="none" w:sz="0" w:space="0" w:color="auto"/>
        <w:bottom w:val="none" w:sz="0" w:space="0" w:color="auto"/>
        <w:right w:val="none" w:sz="0" w:space="0" w:color="auto"/>
      </w:divBdr>
    </w:div>
    <w:div w:id="2049139899">
      <w:bodyDiv w:val="1"/>
      <w:marLeft w:val="0"/>
      <w:marRight w:val="0"/>
      <w:marTop w:val="0"/>
      <w:marBottom w:val="0"/>
      <w:divBdr>
        <w:top w:val="none" w:sz="0" w:space="0" w:color="auto"/>
        <w:left w:val="none" w:sz="0" w:space="0" w:color="auto"/>
        <w:bottom w:val="none" w:sz="0" w:space="0" w:color="auto"/>
        <w:right w:val="none" w:sz="0" w:space="0" w:color="auto"/>
      </w:divBdr>
    </w:div>
    <w:div w:id="209184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471</Words>
  <Characters>2595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Eliana Esnaola</cp:lastModifiedBy>
  <cp:revision>5</cp:revision>
  <dcterms:created xsi:type="dcterms:W3CDTF">2025-03-31T14:56:00Z</dcterms:created>
  <dcterms:modified xsi:type="dcterms:W3CDTF">2025-03-31T14:59:00Z</dcterms:modified>
</cp:coreProperties>
</file>